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96597"/>
      <w:bookmarkStart w:id="4" w:name="_Toc15377425"/>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426"/>
      <w:bookmarkStart w:id="8" w:name="_Toc15396598"/>
      <w:bookmarkStart w:id="9" w:name="_Toc15377194"/>
      <w:bookmarkStart w:id="10" w:name="_Toc15306268"/>
      <w:bookmarkStart w:id="11" w:name="_Toc15396476"/>
      <w:r>
        <w:rPr>
          <w:rFonts w:hint="eastAsia" w:ascii="方正小标宋简体" w:hAnsi="方正小标宋简体" w:eastAsia="方正小标宋简体" w:cs="方正小标宋简体"/>
          <w:color w:val="auto"/>
          <w:sz w:val="72"/>
          <w:szCs w:val="72"/>
          <w:highlight w:val="none"/>
          <w:lang w:eastAsia="zh-CN"/>
        </w:rPr>
        <w:t>四川省地质矿产勘查开发局一</w:t>
      </w:r>
      <w:r>
        <w:rPr>
          <w:rFonts w:hint="eastAsia" w:ascii="方正小标宋简体" w:hAnsi="方正小标宋简体" w:eastAsia="方正小标宋简体" w:cs="方正小标宋简体"/>
          <w:color w:val="auto"/>
          <w:sz w:val="72"/>
          <w:szCs w:val="72"/>
          <w:highlight w:val="none"/>
          <w:lang w:val="en-US" w:eastAsia="zh-CN"/>
        </w:rPr>
        <w:t>0八地质队</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第一部分 单位概况</w:t>
      </w:r>
    </w:p>
    <w:p>
      <w:pPr>
        <w:keepNext w:val="0"/>
        <w:keepLines w:val="0"/>
        <w:widowControl/>
        <w:suppressLineNumbers w:val="0"/>
        <w:ind w:firstLine="480" w:firstLineChars="200"/>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r>
        <w:rPr>
          <w:rFonts w:ascii="仿宋_GB2312" w:hAnsi="仿宋_GB2312" w:eastAsia="仿宋_GB2312" w:cs="仿宋_GB2312"/>
          <w:b/>
          <w:bCs/>
          <w:color w:val="000000"/>
          <w:kern w:val="0"/>
          <w:sz w:val="31"/>
          <w:szCs w:val="31"/>
          <w:lang w:val="en-US" w:eastAsia="zh-CN" w:bidi="ar"/>
        </w:rPr>
        <w:t>........................................4</w:t>
      </w:r>
    </w:p>
    <w:p>
      <w:pPr>
        <w:keepNext w:val="0"/>
        <w:keepLines w:val="0"/>
        <w:widowControl/>
        <w:suppressLineNumbers w:val="0"/>
        <w:ind w:firstLine="480" w:firstLineChars="200"/>
        <w:jc w:val="left"/>
        <w:rPr>
          <w:rFonts w:ascii="仿宋_GB2312" w:hAnsi="仿宋_GB2312" w:eastAsia="仿宋_GB2312" w:cs="仿宋_GB2312"/>
          <w:b/>
          <w:bCs/>
          <w:color w:val="000000"/>
          <w:kern w:val="0"/>
          <w:sz w:val="31"/>
          <w:szCs w:val="31"/>
          <w:lang w:val="en-US" w:eastAsia="zh-CN" w:bidi="ar"/>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ascii="仿宋_GB2312" w:hAnsi="仿宋_GB2312" w:eastAsia="仿宋_GB2312" w:cs="仿宋_GB2312"/>
          <w:b/>
          <w:bCs/>
          <w:color w:val="000000"/>
          <w:kern w:val="0"/>
          <w:sz w:val="31"/>
          <w:szCs w:val="31"/>
          <w:lang w:val="en-US" w:eastAsia="zh-CN" w:bidi="ar"/>
        </w:rPr>
        <w:t>.............................4</w:t>
      </w:r>
    </w:p>
    <w:p>
      <w:pPr>
        <w:pStyle w:val="2"/>
        <w:ind w:left="0" w:leftChars="0" w:firstLine="480" w:firstLineChars="200"/>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三、机构设置情况</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4</w:t>
      </w:r>
    </w:p>
    <w:p>
      <w:pPr>
        <w:pStyle w:val="11"/>
        <w:adjustRightInd w:val="0"/>
        <w:snapToGrid w:val="0"/>
        <w:spacing w:before="0" w:line="440" w:lineRule="exact"/>
        <w:jc w:val="left"/>
        <w:rPr>
          <w:color w:val="auto"/>
          <w:sz w:val="24"/>
          <w:szCs w:val="24"/>
          <w:highlight w:val="none"/>
        </w:rPr>
      </w:pPr>
      <w:r>
        <w:rPr>
          <w:rFonts w:hint="eastAsia" w:ascii="Times New Roman" w:hAnsi="Times New Roman" w:eastAsia="宋体" w:cs="Times New Roman"/>
          <w:color w:val="auto"/>
          <w:kern w:val="2"/>
          <w:sz w:val="24"/>
          <w:szCs w:val="24"/>
          <w:highlight w:val="none"/>
          <w:lang w:val="en-US" w:eastAsia="zh-CN" w:bidi="ar-SA"/>
        </w:rPr>
        <w:t>第二部分 2021年度单位决算情况说明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8</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8</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8</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9</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10</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12</w:t>
      </w: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13</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八、政府性基金预算支出决算情况说明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13</w:t>
      </w:r>
      <w:r>
        <w:rPr>
          <w:rFonts w:hint="eastAsia"/>
          <w:color w:val="auto"/>
          <w:sz w:val="24"/>
          <w:highlight w:val="none"/>
        </w:rPr>
        <w:t>九、国有资本经营预算支出决算情况说明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13</w:t>
      </w:r>
      <w:r>
        <w:rPr>
          <w:rFonts w:hint="eastAsia"/>
          <w:color w:val="auto"/>
          <w:sz w:val="24"/>
          <w:highlight w:val="none"/>
        </w:rPr>
        <w:t>十、其他重要事项的情况说明</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13</w:t>
      </w:r>
    </w:p>
    <w:p>
      <w:pPr>
        <w:keepNext w:val="0"/>
        <w:keepLines w:val="0"/>
        <w:widowControl/>
        <w:suppressLineNumbers w:val="0"/>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15</w:t>
      </w: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18</w:t>
      </w:r>
    </w:p>
    <w:p>
      <w:pPr>
        <w:keepNext w:val="0"/>
        <w:keepLines w:val="0"/>
        <w:widowControl/>
        <w:suppressLineNumbers w:val="0"/>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ascii="仿宋_GB2312" w:hAnsi="仿宋_GB2312" w:eastAsia="仿宋_GB2312" w:cs="仿宋_GB2312"/>
          <w:b/>
          <w:bCs/>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19</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w:t>
      </w:r>
      <w:r>
        <w:rPr>
          <w:rFonts w:hint="eastAsia"/>
          <w:color w:val="auto"/>
          <w:sz w:val="24"/>
          <w:highlight w:val="none"/>
          <w:lang w:val="en-US" w:eastAsia="zh-CN"/>
        </w:rPr>
        <w:t>.</w:t>
      </w:r>
      <w:r>
        <w:rPr>
          <w:rFonts w:hint="eastAsia"/>
          <w:color w:val="auto"/>
          <w:sz w:val="24"/>
          <w:highlight w:val="none"/>
        </w:rPr>
        <w:t>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w:t>
      </w:r>
      <w:r>
        <w:rPr>
          <w:rFonts w:hint="eastAsia"/>
          <w:color w:val="auto"/>
          <w:sz w:val="24"/>
          <w:highlight w:val="none"/>
          <w:lang w:val="en-US" w:eastAsia="zh-CN"/>
        </w:rPr>
        <w:t>.</w:t>
      </w:r>
      <w:r>
        <w:rPr>
          <w:rFonts w:hint="eastAsia"/>
          <w:color w:val="auto"/>
          <w:sz w:val="24"/>
          <w:highlight w:val="none"/>
        </w:rPr>
        <w:t>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w:t>
      </w:r>
      <w:r>
        <w:rPr>
          <w:rFonts w:hint="eastAsia"/>
          <w:color w:val="auto"/>
          <w:sz w:val="24"/>
          <w:highlight w:val="none"/>
          <w:lang w:val="en-US" w:eastAsia="zh-CN"/>
        </w:rPr>
        <w:t>.</w:t>
      </w:r>
      <w:r>
        <w:rPr>
          <w:rFonts w:hint="eastAsia"/>
          <w:color w:val="auto"/>
          <w:sz w:val="24"/>
          <w:highlight w:val="none"/>
        </w:rPr>
        <w:t>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w:t>
      </w:r>
      <w:r>
        <w:rPr>
          <w:rFonts w:hint="eastAsia"/>
          <w:color w:val="auto"/>
          <w:sz w:val="24"/>
          <w:highlight w:val="none"/>
          <w:lang w:val="en-US" w:eastAsia="zh-CN"/>
        </w:rPr>
        <w:t>.</w:t>
      </w:r>
      <w:r>
        <w:rPr>
          <w:rFonts w:hint="eastAsia"/>
          <w:color w:val="auto"/>
          <w:sz w:val="24"/>
          <w:highlight w:val="none"/>
        </w:rPr>
        <w:t>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w:t>
      </w:r>
      <w:r>
        <w:rPr>
          <w:rFonts w:hint="eastAsia"/>
          <w:color w:val="auto"/>
          <w:sz w:val="24"/>
          <w:highlight w:val="none"/>
          <w:lang w:val="en-US" w:eastAsia="zh-CN"/>
        </w:rPr>
        <w:t>.</w:t>
      </w:r>
      <w:r>
        <w:rPr>
          <w:rFonts w:hint="eastAsia"/>
          <w:color w:val="auto"/>
          <w:sz w:val="24"/>
          <w:highlight w:val="none"/>
        </w:rPr>
        <w:t>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w:t>
      </w:r>
      <w:r>
        <w:rPr>
          <w:rFonts w:hint="eastAsia"/>
          <w:color w:val="auto"/>
          <w:sz w:val="24"/>
          <w:highlight w:val="none"/>
          <w:lang w:val="en-US" w:eastAsia="zh-CN"/>
        </w:rPr>
        <w:t>.</w:t>
      </w:r>
      <w:r>
        <w:rPr>
          <w:rFonts w:hint="eastAsia"/>
          <w:color w:val="auto"/>
          <w:sz w:val="24"/>
          <w:highlight w:val="none"/>
        </w:rPr>
        <w:t>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w:t>
      </w:r>
      <w:r>
        <w:rPr>
          <w:rFonts w:hint="eastAsia"/>
          <w:color w:val="auto"/>
          <w:sz w:val="24"/>
          <w:highlight w:val="none"/>
          <w:lang w:val="en-US" w:eastAsia="zh-CN"/>
        </w:rPr>
        <w:t>.</w:t>
      </w:r>
      <w:r>
        <w:rPr>
          <w:rFonts w:hint="eastAsia"/>
          <w:color w:val="auto"/>
          <w:sz w:val="24"/>
          <w:highlight w:val="none"/>
        </w:rPr>
        <w:t>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w:t>
      </w:r>
      <w:r>
        <w:rPr>
          <w:rFonts w:hint="eastAsia"/>
          <w:color w:val="auto"/>
          <w:sz w:val="24"/>
          <w:highlight w:val="none"/>
          <w:lang w:val="en-US" w:eastAsia="zh-CN"/>
        </w:rPr>
        <w:t>.</w:t>
      </w:r>
      <w:r>
        <w:rPr>
          <w:rFonts w:hint="eastAsia"/>
          <w:color w:val="auto"/>
          <w:sz w:val="24"/>
          <w:highlight w:val="none"/>
        </w:rPr>
        <w:t>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w:t>
      </w:r>
      <w:r>
        <w:rPr>
          <w:rFonts w:hint="eastAsia"/>
          <w:color w:val="auto"/>
          <w:sz w:val="24"/>
          <w:highlight w:val="none"/>
          <w:lang w:val="en-US" w:eastAsia="zh-CN"/>
        </w:rPr>
        <w:t>.</w:t>
      </w:r>
      <w:r>
        <w:rPr>
          <w:rFonts w:hint="eastAsia"/>
          <w:color w:val="auto"/>
          <w:sz w:val="24"/>
          <w:highlight w:val="none"/>
        </w:rPr>
        <w:t>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w:t>
      </w:r>
      <w:r>
        <w:rPr>
          <w:rFonts w:hint="eastAsia"/>
          <w:color w:val="auto"/>
          <w:sz w:val="24"/>
          <w:highlight w:val="none"/>
          <w:lang w:val="en-US" w:eastAsia="zh-CN"/>
        </w:rPr>
        <w:t>.</w:t>
      </w:r>
      <w:r>
        <w:rPr>
          <w:rFonts w:hint="eastAsia"/>
          <w:color w:val="auto"/>
          <w:sz w:val="24"/>
          <w:highlight w:val="none"/>
        </w:rPr>
        <w:t>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w:t>
      </w:r>
      <w:r>
        <w:rPr>
          <w:rFonts w:hint="eastAsia"/>
          <w:color w:val="auto"/>
          <w:sz w:val="24"/>
          <w:highlight w:val="none"/>
          <w:lang w:val="en-US" w:eastAsia="zh-CN"/>
        </w:rPr>
        <w:t>.</w:t>
      </w:r>
      <w:r>
        <w:rPr>
          <w:rFonts w:hint="eastAsia"/>
          <w:color w:val="auto"/>
          <w:sz w:val="24"/>
          <w:highlight w:val="none"/>
        </w:rPr>
        <w:t>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w:t>
      </w:r>
      <w:r>
        <w:rPr>
          <w:rFonts w:hint="eastAsia"/>
          <w:color w:val="auto"/>
          <w:sz w:val="24"/>
          <w:highlight w:val="none"/>
        </w:rPr>
        <w:t>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w:t>
      </w:r>
      <w:r>
        <w:rPr>
          <w:rFonts w:hint="eastAsia"/>
          <w:color w:val="auto"/>
          <w:sz w:val="24"/>
          <w:highlight w:val="none"/>
          <w:lang w:val="en-US" w:eastAsia="zh-CN"/>
        </w:rPr>
        <w:t>.</w:t>
      </w:r>
      <w:r>
        <w:rPr>
          <w:rFonts w:hint="eastAsia"/>
          <w:color w:val="auto"/>
          <w:sz w:val="24"/>
          <w:highlight w:val="none"/>
        </w:rPr>
        <w:t>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2"/>
        <w:rPr>
          <w:rFonts w:ascii="仿宋" w:hAnsi="仿宋" w:eastAsia="仿宋"/>
          <w:bCs/>
          <w:color w:val="auto"/>
          <w:kern w:val="44"/>
          <w:sz w:val="24"/>
          <w:highlight w:val="none"/>
        </w:rPr>
      </w:pP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0"/>
        </w:numPr>
        <w:ind w:firstLine="320" w:firstLineChars="100"/>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val="en-US" w:eastAsia="zh-CN"/>
        </w:rPr>
        <w:t xml:space="preserve">  一.</w:t>
      </w:r>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我队是集地质矿产勘查开发、地灾防治、环境保护治理 </w:t>
      </w:r>
    </w:p>
    <w:p>
      <w:pPr>
        <w:widowControl/>
        <w:rPr>
          <w:rFonts w:hint="eastAsia"/>
        </w:rPr>
      </w:pPr>
      <w:r>
        <w:rPr>
          <w:rFonts w:hint="eastAsia" w:ascii="仿宋" w:hAnsi="仿宋" w:eastAsia="仿宋" w:cs="仿宋"/>
          <w:color w:val="000000"/>
          <w:kern w:val="0"/>
          <w:sz w:val="31"/>
          <w:szCs w:val="31"/>
          <w:lang w:val="en-US" w:eastAsia="zh-CN" w:bidi="ar"/>
        </w:rPr>
        <w:t>及投资融资为一体的综合性地勘队伍。</w:t>
      </w:r>
      <w:r>
        <w:rPr>
          <w:rFonts w:hint="eastAsia" w:ascii="仿宋_GB2312" w:hAnsi="宋体" w:eastAsia="仿宋_GB2312" w:cs="宋体"/>
          <w:bCs/>
          <w:kern w:val="0"/>
          <w:sz w:val="32"/>
          <w:szCs w:val="32"/>
        </w:rPr>
        <w:t>队现拥有各种甲级资质6个、乙级资质1个。其中，工程勘察专业类 （岩土工程〔勘察〕、水文地质勘察）、地质灾害防治危险性评估、地质灾害治理工程勘查、设计、施工为甲级资质。测绘为乙级资质。地基基础工程专业承包为贰级资质。我队是以地质找矿为核心竞争力的资源型地勘队伍，随着地质工作由资源型向资源与环境并重型的转变，结构性问题愈显突出。我队在做好传统地质找矿的同时，积极拓展新农村建设土地整治项目、城市地质环境调查、灾害地质调查、监测与预防等工作、农业地质调查、地质旅游规划等新领域。</w:t>
      </w:r>
    </w:p>
    <w:p>
      <w:pPr>
        <w:pStyle w:val="4"/>
        <w:numPr>
          <w:ilvl w:val="0"/>
          <w:numId w:val="0"/>
        </w:numPr>
        <w:ind w:firstLine="640" w:firstLineChars="200"/>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2021 年，我队在局党委的坚强领导下,以习近平新时代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中国特色社会主义思想为指导， 全面贯彻落实中央、省委省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政府和局党委各项决策部署， 坚持新发展理念， 坚持为工业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找矿、为产业和民生服务，坚守 “全面融入地方发展体系、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精准服务政府运行目标”工作定位， 以生产经营为龙头， 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改革转型为主线， 全力抓好蜀康公司公司制改制和固矿院整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合运行，努力实现机制灵活、结构优化、经济发展的目标、营造职工幸福的环境。</w:t>
      </w:r>
    </w:p>
    <w:p>
      <w:pPr>
        <w:widowControl/>
        <w:ind w:firstLine="627" w:firstLineChars="196"/>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1.完成项目用款融资工作：我队想方设法进行项目融资，2021年续贷及新增银行贷款2.91亿元，以保障项目顺利实施；组织研究完善相关内部控制制度，抓住内部控制关键节点和控制流程保障项目顺利进行；积极发挥土地整理公司聘请的法律、跟审、财务审计等三个专业咨询服务机构的作用，保障项目实施全过程、全方位的合法、合规、合理性；按照“三重一大”实行管理，队纪监办、审计科、财务科等职能部门都积极介入该项工作中。</w:t>
      </w:r>
    </w:p>
    <w:p>
      <w:pPr>
        <w:widowControl/>
        <w:ind w:firstLine="627" w:firstLineChars="196"/>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2.市场领域不断拓展：我们紧贴国家发展战略、紧跟局党委“地质+”战略，在干中学、学中干，持续拓展地质延伸产业，努力培育新的地勘经济增长点。在“地质+应急管理”方面，开展了四川省活动断层普查项目子项目——松潘县</w:t>
      </w:r>
      <w:r>
        <w:rPr>
          <w:rFonts w:hint="default"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en-US" w:eastAsia="zh-CN"/>
        </w:rPr>
        <w:t>:</w:t>
      </w:r>
      <w:r>
        <w:rPr>
          <w:rFonts w:hint="default"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en-US" w:eastAsia="zh-CN"/>
        </w:rPr>
        <w:t>万城市活动断层探测和康定</w:t>
      </w:r>
      <w:r>
        <w:rPr>
          <w:rFonts w:hint="default"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en-US" w:eastAsia="zh-CN"/>
        </w:rPr>
        <w:t>：</w:t>
      </w:r>
      <w:r>
        <w:rPr>
          <w:rFonts w:hint="default"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en-US" w:eastAsia="zh-CN"/>
        </w:rPr>
        <w:t>万城市活动断层探查。在“地质+自然资源”方面，开展了四川九龙地区</w:t>
      </w:r>
      <w:r>
        <w:rPr>
          <w:rFonts w:hint="default"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en-US" w:eastAsia="zh-CN"/>
        </w:rPr>
        <w:t>:</w:t>
      </w:r>
      <w:r>
        <w:rPr>
          <w:rFonts w:hint="default" w:ascii="仿宋_GB2312" w:hAnsi="宋体" w:eastAsia="仿宋_GB2312" w:cs="宋体"/>
          <w:bCs/>
          <w:kern w:val="0"/>
          <w:sz w:val="32"/>
          <w:szCs w:val="32"/>
          <w:lang w:val="en-US" w:eastAsia="zh-CN"/>
        </w:rPr>
        <w:t>5</w:t>
      </w:r>
      <w:r>
        <w:rPr>
          <w:rFonts w:hint="eastAsia" w:ascii="仿宋_GB2312" w:hAnsi="宋体" w:eastAsia="仿宋_GB2312" w:cs="宋体"/>
          <w:bCs/>
          <w:kern w:val="0"/>
          <w:sz w:val="32"/>
          <w:szCs w:val="32"/>
          <w:lang w:val="en-US" w:eastAsia="zh-CN"/>
        </w:rPr>
        <w:t>万四幅矿调，该项目铷、铍找矿获得重要突破。在“地质+文化旅游”方面，参与了四川省文化和旅游资源普查项目，负责雅安汉源县、雅安荥经县、巴中恩阳区三地的文化和旅游资源普查技术指导、培</w:t>
      </w:r>
      <w:bookmarkStart w:id="63" w:name="_GoBack"/>
      <w:bookmarkEnd w:id="63"/>
      <w:r>
        <w:rPr>
          <w:rFonts w:hint="eastAsia" w:ascii="仿宋_GB2312" w:hAnsi="宋体" w:eastAsia="仿宋_GB2312" w:cs="宋体"/>
          <w:bCs/>
          <w:kern w:val="0"/>
          <w:sz w:val="32"/>
          <w:szCs w:val="32"/>
          <w:lang w:val="en-US" w:eastAsia="zh-CN"/>
        </w:rPr>
        <w:t>训和督导工作，负责雅安荥经县、成都崇州市的文化和旅游资源普查项目；全队共</w:t>
      </w:r>
      <w:r>
        <w:rPr>
          <w:rFonts w:hint="default" w:ascii="仿宋_GB2312" w:hAnsi="宋体" w:eastAsia="仿宋_GB2312" w:cs="宋体"/>
          <w:bCs/>
          <w:kern w:val="0"/>
          <w:sz w:val="32"/>
          <w:szCs w:val="32"/>
          <w:lang w:val="en-US" w:eastAsia="zh-CN"/>
        </w:rPr>
        <w:t>26</w:t>
      </w:r>
      <w:r>
        <w:rPr>
          <w:rFonts w:hint="eastAsia" w:ascii="仿宋_GB2312" w:hAnsi="宋体" w:eastAsia="仿宋_GB2312" w:cs="宋体"/>
          <w:bCs/>
          <w:kern w:val="0"/>
          <w:sz w:val="32"/>
          <w:szCs w:val="32"/>
          <w:lang w:val="en-US" w:eastAsia="zh-CN"/>
        </w:rPr>
        <w:t>人通过局文旅资源培训考核系统并获得合格证书。在“地质+城镇建设”方面，开展了崇州市污水管网病害检测服务采购续作项目、青白江清泉镇红岩村等地质灾害搬迁增减挂钩项目。拓展新领域工作涉足水系综合整治项目。</w:t>
      </w:r>
    </w:p>
    <w:p>
      <w:pPr>
        <w:widowControl/>
        <w:ind w:firstLine="627" w:firstLineChars="196"/>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3.在地质找矿工作方面：传统矿产勘查市场断崖式下挫，外部市场竞争趋于白热化，受全国新型冠状病毒肺炎疫情影响，2021年签订合同总额大幅下降，转变传统找矿思维，向绿色勘查方向发展，向矿山恢复治理方向发力。继续保留住了这块阵地；保持住了找矿核心竞争力；保留住了找矿技术人才的稳定。</w:t>
      </w:r>
    </w:p>
    <w:p>
      <w:pPr>
        <w:widowControl/>
        <w:ind w:firstLine="627" w:firstLineChars="196"/>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4.内部控制制度建设方面：本年在相关部门的共同努力下，根据我队的实际需要，基本完善了内部控制制度的修订工作。</w:t>
      </w:r>
    </w:p>
    <w:p>
      <w:pPr>
        <w:widowControl/>
        <w:ind w:firstLine="627" w:firstLineChars="196"/>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5.持续抓</w:t>
      </w:r>
      <w:r>
        <w:rPr>
          <w:rFonts w:hint="eastAsia" w:ascii="仿宋_GB2312" w:hAnsi="宋体" w:eastAsia="仿宋_GB2312" w:cs="宋体"/>
          <w:bCs/>
          <w:kern w:val="0"/>
          <w:sz w:val="32"/>
          <w:szCs w:val="32"/>
          <w:lang w:val="zh-CN" w:eastAsia="zh-CN"/>
        </w:rPr>
        <w:t>安全生产和维护单位和谐稳定工作：做好</w:t>
      </w:r>
      <w:r>
        <w:rPr>
          <w:rFonts w:hint="eastAsia" w:ascii="仿宋_GB2312" w:hAnsi="宋体" w:eastAsia="仿宋_GB2312" w:cs="宋体"/>
          <w:bCs/>
          <w:kern w:val="0"/>
          <w:sz w:val="32"/>
          <w:szCs w:val="32"/>
          <w:lang w:val="en-US" w:eastAsia="zh-CN"/>
        </w:rPr>
        <w:t>疫情防控工作、做好信访工作、抓好安全生产管理、维持稳定和谐态势、保障安措费专款专用和足额使用。</w:t>
      </w:r>
    </w:p>
    <w:p>
      <w:pPr>
        <w:widowControl/>
        <w:ind w:firstLine="627" w:firstLineChars="196"/>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6.全面加强党的建设和党风廉政建设：我队认真组织学习贯彻中央、省和地矿局指示精神，并结合队情将精神落实到具体工作中。</w:t>
      </w:r>
    </w:p>
    <w:p>
      <w:pPr>
        <w:pStyle w:val="2"/>
        <w:rPr>
          <w:rFonts w:hint="eastAsia"/>
          <w:lang w:val="en-US" w:eastAsia="zh-CN"/>
        </w:rPr>
      </w:pPr>
    </w:p>
    <w:p>
      <w:pPr>
        <w:pStyle w:val="2"/>
        <w:rPr>
          <w:rFonts w:hint="eastAsia" w:ascii="黑体" w:hAnsi="黑体" w:eastAsia="黑体" w:cstheme="majorBidi"/>
          <w:b w:val="0"/>
          <w:bCs/>
          <w:color w:val="auto"/>
          <w:kern w:val="2"/>
          <w:sz w:val="32"/>
          <w:szCs w:val="32"/>
          <w:highlight w:val="none"/>
          <w:lang w:val="en-US" w:eastAsia="zh-CN" w:bidi="ar-SA"/>
        </w:rPr>
      </w:pPr>
      <w:r>
        <w:rPr>
          <w:rFonts w:hint="eastAsia" w:ascii="黑体" w:hAnsi="黑体" w:eastAsia="黑体" w:cstheme="majorBidi"/>
          <w:b w:val="0"/>
          <w:bCs/>
          <w:color w:val="auto"/>
          <w:kern w:val="2"/>
          <w:sz w:val="32"/>
          <w:szCs w:val="32"/>
          <w:highlight w:val="none"/>
          <w:lang w:val="en-US" w:eastAsia="zh-CN" w:bidi="ar-SA"/>
        </w:rPr>
        <w:t>三.机构设置情况</w:t>
      </w:r>
    </w:p>
    <w:p>
      <w:pPr>
        <w:keepNext w:val="0"/>
        <w:keepLines w:val="0"/>
        <w:widowControl/>
        <w:suppressLineNumbers w:val="0"/>
        <w:ind w:firstLine="640" w:firstLineChars="200"/>
        <w:jc w:val="left"/>
        <w:rPr>
          <w:rFonts w:ascii="仿宋" w:hAnsi="仿宋" w:eastAsia="仿宋"/>
          <w:color w:val="auto"/>
          <w:kern w:val="0"/>
          <w:sz w:val="32"/>
          <w:szCs w:val="32"/>
          <w:highlight w:val="none"/>
        </w:rPr>
      </w:pPr>
      <w:r>
        <w:rPr>
          <w:rFonts w:hint="eastAsia" w:ascii="仿宋_GB2312" w:hAnsi="宋体" w:eastAsia="仿宋_GB2312" w:cs="宋体"/>
          <w:bCs/>
          <w:kern w:val="0"/>
          <w:sz w:val="32"/>
          <w:szCs w:val="32"/>
          <w:lang w:val="en-US" w:eastAsia="zh-CN"/>
        </w:rPr>
        <w:t>大队设置15个部门，分别是：行政综合管理部、党办、纪检办、工会办、审计科、劳人科、离退休科、财务科、技术质量管理部、安全生产管理科、物业中心、地质调查研究所、资源与环境工程中心、矿产资源综合评价所及地理信息中心。</w:t>
      </w:r>
      <w:r>
        <w:rPr>
          <w:rFonts w:ascii="仿宋" w:hAnsi="仿宋" w:eastAsia="仿宋"/>
          <w:color w:val="auto"/>
          <w:sz w:val="32"/>
          <w:szCs w:val="32"/>
          <w:highlight w:val="none"/>
        </w:rPr>
        <w:br w:type="page"/>
      </w:r>
    </w:p>
    <w:p>
      <w:pPr>
        <w:pStyle w:val="3"/>
        <w:ind w:right="440"/>
        <w:jc w:val="center"/>
        <w:rPr>
          <w:color w:val="auto"/>
          <w:highlight w:val="none"/>
        </w:rPr>
      </w:pPr>
      <w:bookmarkStart w:id="16" w:name="_Toc15377204"/>
      <w:bookmarkStart w:id="17" w:name="_Toc15396602"/>
      <w:r>
        <w:rPr>
          <w:rFonts w:hint="eastAsia" w:ascii="黑体" w:hAnsi="黑体" w:eastAsia="黑体"/>
          <w:b w:val="0"/>
          <w:bCs/>
          <w:color w:val="auto"/>
          <w:highlight w:val="none"/>
          <w:lang w:val="en-US" w:eastAsia="zh-CN"/>
        </w:rPr>
        <w:t xml:space="preserve">  </w:t>
      </w: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pStyle w:val="24"/>
        <w:numPr>
          <w:ilvl w:val="0"/>
          <w:numId w:val="0"/>
        </w:numPr>
        <w:spacing w:line="600" w:lineRule="exact"/>
        <w:ind w:left="640" w:leftChars="0"/>
        <w:outlineLvl w:val="1"/>
        <w:rPr>
          <w:rStyle w:val="26"/>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lang w:val="en-US" w:eastAsia="zh-CN"/>
        </w:rPr>
        <w:t>.</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年度收、支总计29269.58万元。与20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收入</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588.22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本年经营收入较上年减少形成。</w:t>
      </w:r>
    </w:p>
    <w:p>
      <w:pPr>
        <w:spacing w:line="600" w:lineRule="exact"/>
        <w:ind w:firstLine="640" w:firstLineChars="200"/>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pPr>
      <w:r>
        <w:rPr>
          <w:rFonts w:hint="eastAsia" w:ascii="仿宋_GB2312" w:eastAsia="仿宋_GB2312"/>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488315</wp:posOffset>
            </wp:positionH>
            <wp:positionV relativeFrom="paragraph">
              <wp:posOffset>97155</wp:posOffset>
            </wp:positionV>
            <wp:extent cx="4222750" cy="2520950"/>
            <wp:effectExtent l="4445" t="5080" r="20955" b="762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ind w:left="0" w:leftChars="0" w:firstLine="0" w:firstLineChars="0"/>
        <w:rPr>
          <w:rFonts w:hint="eastAsia" w:ascii="仿宋_GB2312" w:eastAsia="仿宋_GB2312"/>
          <w:color w:val="auto"/>
          <w:sz w:val="32"/>
          <w:szCs w:val="32"/>
          <w:highlight w:val="none"/>
          <w:lang w:eastAsia="zh-CN"/>
        </w:rPr>
      </w:pPr>
    </w:p>
    <w:p>
      <w:pPr>
        <w:pStyle w:val="24"/>
        <w:numPr>
          <w:ilvl w:val="0"/>
          <w:numId w:val="0"/>
        </w:numPr>
        <w:spacing w:line="600" w:lineRule="exact"/>
        <w:ind w:firstLine="640" w:firstLineChars="200"/>
        <w:outlineLvl w:val="1"/>
        <w:rPr>
          <w:rStyle w:val="26"/>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lang w:val="en-US" w:eastAsia="zh-CN"/>
        </w:rPr>
        <w:t>.</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29269.58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5545.01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18.94</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473.19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1.62</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23251.38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黑体" w:hAnsi="黑体" w:eastAsia="黑体"/>
          <w:color w:val="auto"/>
          <w:sz w:val="32"/>
          <w:szCs w:val="32"/>
          <w:highlight w:val="none"/>
          <w:lang w:eastAsia="zh-CN"/>
        </w:rPr>
      </w:pPr>
      <w:r>
        <w:rPr>
          <w:rFonts w:hint="eastAsia" w:ascii="仿宋" w:hAnsi="仿宋" w:eastAsia="仿宋"/>
          <w:color w:val="auto"/>
          <w:sz w:val="32"/>
          <w:szCs w:val="32"/>
          <w:highlight w:val="none"/>
        </w:rPr>
        <w:t>（图2：收入决算结构图）（饼状图）</w:t>
      </w:r>
      <w:r>
        <w:rPr>
          <w:rFonts w:hint="eastAsia" w:eastAsia="宋体"/>
          <w:lang w:eastAsia="zh-CN"/>
        </w:rPr>
        <w:drawing>
          <wp:anchor distT="0" distB="0" distL="114300" distR="114300" simplePos="0" relativeHeight="251660288" behindDoc="0" locked="0" layoutInCell="1" allowOverlap="1">
            <wp:simplePos x="0" y="0"/>
            <wp:positionH relativeFrom="column">
              <wp:posOffset>570865</wp:posOffset>
            </wp:positionH>
            <wp:positionV relativeFrom="paragraph">
              <wp:posOffset>42545</wp:posOffset>
            </wp:positionV>
            <wp:extent cx="4001135" cy="2414270"/>
            <wp:effectExtent l="4445" t="4445" r="13970" b="1968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22" w:name="_Toc15377207"/>
      <w:bookmarkStart w:id="23" w:name="_Toc15396605"/>
    </w:p>
    <w:p>
      <w:pPr>
        <w:spacing w:line="600" w:lineRule="exact"/>
        <w:ind w:firstLine="640" w:firstLineChars="200"/>
        <w:rPr>
          <w:rStyle w:val="26"/>
          <w:rFonts w:ascii="黑体" w:hAnsi="黑体" w:eastAsia="黑体"/>
          <w:b w:val="0"/>
          <w:color w:val="auto"/>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lang w:val="en-US" w:eastAsia="zh-CN"/>
        </w:rPr>
        <w:t>.</w:t>
      </w:r>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25359.64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6407.83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25.27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18489.81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72.91</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462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1.82</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rPr>
          <w:rStyle w:val="26"/>
          <w:rFonts w:hint="eastAsia" w:ascii="黑体" w:hAnsi="黑体" w:eastAsia="黑体"/>
          <w:b w:val="0"/>
          <w:color w:val="auto"/>
          <w:highlight w:val="none"/>
        </w:rPr>
      </w:pPr>
      <w:r>
        <w:rPr>
          <w:rFonts w:hint="eastAsia" w:eastAsia="仿宋"/>
          <w:lang w:eastAsia="zh-CN"/>
        </w:rPr>
        <w:drawing>
          <wp:anchor distT="0" distB="0" distL="114300" distR="114300" simplePos="0" relativeHeight="251661312" behindDoc="0" locked="0" layoutInCell="1" allowOverlap="1">
            <wp:simplePos x="0" y="0"/>
            <wp:positionH relativeFrom="column">
              <wp:posOffset>297815</wp:posOffset>
            </wp:positionH>
            <wp:positionV relativeFrom="paragraph">
              <wp:posOffset>145415</wp:posOffset>
            </wp:positionV>
            <wp:extent cx="4458335" cy="2249170"/>
            <wp:effectExtent l="4445" t="4445" r="13970" b="1333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Start w:id="24" w:name="_Toc15396606"/>
      <w:bookmarkStart w:id="25" w:name="_Toc15377208"/>
      <w:r>
        <w:rPr>
          <w:rFonts w:hint="eastAsia" w:ascii="黑体" w:hAnsi="黑体" w:eastAsia="黑体"/>
          <w:color w:val="auto"/>
          <w:sz w:val="32"/>
          <w:szCs w:val="32"/>
          <w:highlight w:val="none"/>
        </w:rPr>
        <w:t>四</w:t>
      </w:r>
      <w:r>
        <w:rPr>
          <w:rFonts w:hint="eastAsia" w:ascii="黑体" w:hAnsi="黑体" w:eastAsia="黑体"/>
          <w:color w:val="auto"/>
          <w:sz w:val="32"/>
          <w:szCs w:val="32"/>
          <w:highlight w:val="none"/>
          <w:lang w:val="en-US" w:eastAsia="zh-CN"/>
        </w:rPr>
        <w:t>.</w:t>
      </w:r>
      <w:r>
        <w:rPr>
          <w:rFonts w:hint="eastAsia" w:ascii="黑体" w:hAnsi="黑体" w:eastAsia="黑体"/>
          <w:color w:val="auto"/>
          <w:sz w:val="32"/>
          <w:szCs w:val="32"/>
          <w:highlight w:val="none"/>
        </w:rPr>
        <w:t>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5545.01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75.79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退休人员一次性生活补贴增加引起。</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rPr>
          <w:rFonts w:hint="eastAsia" w:ascii="仿宋" w:hAnsi="仿宋" w:eastAsia="仿宋"/>
          <w:b/>
          <w:color w:val="auto"/>
          <w:sz w:val="32"/>
          <w:szCs w:val="32"/>
          <w:highlight w:val="none"/>
        </w:rPr>
      </w:pPr>
      <w:r>
        <w:rPr>
          <w:rFonts w:hint="eastAsia" w:eastAsia="宋体"/>
          <w:lang w:eastAsia="zh-CN"/>
        </w:rPr>
        <w:drawing>
          <wp:anchor distT="0" distB="0" distL="114300" distR="114300" simplePos="0" relativeHeight="251662336" behindDoc="0" locked="0" layoutInCell="1" allowOverlap="1">
            <wp:simplePos x="0" y="0"/>
            <wp:positionH relativeFrom="column">
              <wp:posOffset>554990</wp:posOffset>
            </wp:positionH>
            <wp:positionV relativeFrom="paragraph">
              <wp:posOffset>46355</wp:posOffset>
            </wp:positionV>
            <wp:extent cx="3969385" cy="2444750"/>
            <wp:effectExtent l="4445" t="4445" r="7620" b="825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26" w:name="_Toc15377210"/>
      <w:r>
        <w:rPr>
          <w:rFonts w:hint="eastAsia" w:ascii="黑体" w:hAnsi="黑体" w:eastAsia="黑体"/>
          <w:color w:val="auto"/>
          <w:sz w:val="32"/>
          <w:szCs w:val="32"/>
        </w:rPr>
        <w:t>五</w:t>
      </w:r>
      <w:r>
        <w:rPr>
          <w:rFonts w:hint="eastAsia" w:ascii="黑体" w:hAnsi="黑体" w:eastAsia="黑体"/>
          <w:color w:val="auto"/>
          <w:sz w:val="32"/>
          <w:szCs w:val="32"/>
          <w:lang w:val="en-US" w:eastAsia="zh-CN"/>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（一）一般公共预算财政拨款支出决算总体情况</w:t>
      </w:r>
      <w:bookmarkEnd w:id="26"/>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5545.01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21.87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75.79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退休人员一次性生活补贴增加引起。</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433705</wp:posOffset>
            </wp:positionH>
            <wp:positionV relativeFrom="paragraph">
              <wp:posOffset>767080</wp:posOffset>
            </wp:positionV>
            <wp:extent cx="4401185" cy="2698750"/>
            <wp:effectExtent l="4445" t="4445" r="13970" b="2095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rPr>
          <w:rFonts w:ascii="仿宋" w:hAnsi="仿宋" w:eastAsia="仿宋"/>
          <w:b/>
          <w:color w:val="auto"/>
          <w:sz w:val="32"/>
          <w:szCs w:val="32"/>
          <w:highlight w:val="none"/>
        </w:rPr>
      </w:pPr>
      <w:bookmarkStart w:id="27" w:name="_Toc15377211"/>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二）一般公共预算财政拨款支出决算结构情况</w:t>
      </w:r>
      <w:bookmarkEnd w:id="27"/>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5545.01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1695.07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140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2.52</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200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lang w:eastAsia="zh-CN"/>
        </w:rPr>
        <w:t>资源勘探工业信息等支出</w:t>
      </w:r>
      <w:r>
        <w:rPr>
          <w:rFonts w:hint="eastAsia" w:ascii="仿宋" w:hAnsi="仿宋" w:eastAsia="仿宋"/>
          <w:color w:val="auto"/>
          <w:sz w:val="32"/>
          <w:szCs w:val="32"/>
          <w:lang w:val="en-US" w:eastAsia="zh-CN"/>
        </w:rPr>
        <w:t>3509.94万元，占63.30%</w:t>
      </w:r>
      <w:r>
        <w:rPr>
          <w:rFonts w:hint="eastAsia" w:ascii="仿宋" w:hAnsi="仿宋" w:eastAsia="仿宋"/>
          <w:color w:val="auto"/>
          <w:sz w:val="32"/>
          <w:szCs w:val="32"/>
        </w:rPr>
        <w:t>。</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423545</wp:posOffset>
            </wp:positionH>
            <wp:positionV relativeFrom="paragraph">
              <wp:posOffset>207645</wp:posOffset>
            </wp:positionV>
            <wp:extent cx="4477385" cy="3517900"/>
            <wp:effectExtent l="4445" t="4445" r="13970" b="2095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28" w:name="_Toc15377212"/>
      <w:r>
        <w:rPr>
          <w:rFonts w:hint="eastAsia" w:ascii="仿宋" w:hAnsi="仿宋" w:eastAsia="仿宋"/>
          <w:b/>
          <w:color w:val="auto"/>
          <w:sz w:val="32"/>
          <w:szCs w:val="32"/>
          <w:highlight w:val="none"/>
          <w:lang w:val="en-US" w:eastAsia="zh-CN"/>
        </w:rPr>
        <w:t>(</w:t>
      </w:r>
      <w:r>
        <w:rPr>
          <w:rFonts w:hint="eastAsia" w:ascii="仿宋" w:hAnsi="仿宋" w:eastAsia="仿宋"/>
          <w:b/>
          <w:color w:val="auto"/>
          <w:sz w:val="32"/>
          <w:szCs w:val="32"/>
          <w:highlight w:val="none"/>
        </w:rPr>
        <w:t>三）一般公共预算财政拨款支出决算具体情况</w:t>
      </w:r>
      <w:bookmarkEnd w:id="28"/>
    </w:p>
    <w:p>
      <w:pPr>
        <w:spacing w:line="600" w:lineRule="exact"/>
        <w:ind w:firstLine="643" w:firstLineChars="200"/>
        <w:outlineLvl w:val="2"/>
        <w:rPr>
          <w:rStyle w:val="15"/>
          <w:rFonts w:hint="eastAsia" w:ascii="仿宋" w:hAnsi="仿宋" w:eastAsia="仿宋"/>
          <w:bCs/>
          <w:color w:val="auto"/>
          <w:sz w:val="32"/>
          <w:szCs w:val="32"/>
          <w:highlight w:val="none"/>
        </w:rPr>
      </w:pPr>
      <w:bookmarkStart w:id="29" w:name="_Toc15377444"/>
      <w:bookmarkStart w:id="30" w:name="_Toc15377213"/>
      <w:bookmarkStart w:id="31"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5545.01万元</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其中基本支出</w:t>
      </w:r>
      <w:r>
        <w:rPr>
          <w:rFonts w:hint="eastAsia" w:ascii="仿宋" w:hAnsi="仿宋" w:eastAsia="仿宋"/>
          <w:b/>
          <w:color w:val="auto"/>
          <w:sz w:val="32"/>
          <w:szCs w:val="32"/>
          <w:highlight w:val="none"/>
          <w:lang w:val="en-US" w:eastAsia="zh-CN"/>
        </w:rPr>
        <w:t>5465.01万元，项目支出80万元，</w:t>
      </w:r>
      <w:r>
        <w:rPr>
          <w:rFonts w:hint="eastAsia" w:ascii="仿宋" w:hAnsi="仿宋" w:eastAsia="仿宋"/>
          <w:b/>
          <w:color w:val="auto"/>
          <w:sz w:val="32"/>
          <w:szCs w:val="32"/>
          <w:highlight w:val="none"/>
        </w:rPr>
        <w:t>完</w:t>
      </w:r>
      <w:r>
        <w:rPr>
          <w:rStyle w:val="15"/>
          <w:rFonts w:hint="eastAsia" w:ascii="仿宋" w:hAnsi="仿宋" w:eastAsia="仿宋"/>
          <w:bCs/>
          <w:color w:val="auto"/>
          <w:sz w:val="32"/>
          <w:szCs w:val="32"/>
          <w:highlight w:val="none"/>
        </w:rPr>
        <w:t>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29"/>
      <w:bookmarkEnd w:id="30"/>
      <w:bookmarkEnd w:id="31"/>
    </w:p>
    <w:p>
      <w:pPr>
        <w:keepNext w:val="0"/>
        <w:keepLines w:val="0"/>
        <w:widowControl/>
        <w:suppressLineNumbers w:val="0"/>
        <w:ind w:firstLine="643" w:firstLineChars="200"/>
        <w:jc w:val="left"/>
      </w:pPr>
      <w:r>
        <w:rPr>
          <w:rStyle w:val="15"/>
          <w:rFonts w:hint="eastAsia" w:ascii="仿宋" w:hAnsi="仿宋" w:eastAsia="仿宋"/>
          <w:bCs/>
          <w:color w:val="auto"/>
          <w:sz w:val="32"/>
          <w:szCs w:val="32"/>
          <w:lang w:val="en-US" w:eastAsia="zh-CN"/>
        </w:rPr>
        <w:t>1</w:t>
      </w:r>
      <w:r>
        <w:rPr>
          <w:rStyle w:val="15"/>
          <w:rFonts w:ascii="仿宋" w:hAnsi="仿宋" w:eastAsia="仿宋"/>
          <w:bCs/>
          <w:color w:val="auto"/>
          <w:sz w:val="32"/>
          <w:szCs w:val="32"/>
        </w:rPr>
        <w:t>.</w:t>
      </w:r>
      <w:r>
        <w:rPr>
          <w:rFonts w:ascii="仿宋_GB2312" w:hAnsi="仿宋_GB2312" w:eastAsia="仿宋_GB2312" w:cs="仿宋_GB2312"/>
          <w:b/>
          <w:bCs/>
          <w:color w:val="000000"/>
          <w:kern w:val="0"/>
          <w:sz w:val="31"/>
          <w:szCs w:val="31"/>
          <w:lang w:val="en-US" w:eastAsia="zh-CN" w:bidi="ar"/>
        </w:rPr>
        <w:t>社会保障和就业（类）行政事业单位</w:t>
      </w:r>
      <w:r>
        <w:rPr>
          <w:rFonts w:hint="eastAsia" w:ascii="仿宋_GB2312" w:hAnsi="仿宋_GB2312" w:eastAsia="仿宋_GB2312" w:cs="仿宋_GB2312"/>
          <w:b/>
          <w:bCs/>
          <w:color w:val="000000"/>
          <w:kern w:val="0"/>
          <w:sz w:val="31"/>
          <w:szCs w:val="31"/>
          <w:lang w:val="en-US" w:eastAsia="zh-CN" w:bidi="ar"/>
        </w:rPr>
        <w:t>养老支出</w:t>
      </w:r>
      <w:r>
        <w:rPr>
          <w:rFonts w:ascii="仿宋_GB2312" w:hAnsi="仿宋_GB2312" w:eastAsia="仿宋_GB2312" w:cs="仿宋_GB2312"/>
          <w:b/>
          <w:bCs/>
          <w:color w:val="000000"/>
          <w:kern w:val="0"/>
          <w:sz w:val="31"/>
          <w:szCs w:val="31"/>
          <w:lang w:val="en-US" w:eastAsia="zh-CN" w:bidi="ar"/>
        </w:rPr>
        <w:t>（款）事业单位离退休（项）:</w:t>
      </w:r>
      <w:r>
        <w:rPr>
          <w:rFonts w:ascii="仿宋_GB2312" w:hAnsi="仿宋_GB2312" w:eastAsia="仿宋_GB2312" w:cs="仿宋_GB2312"/>
          <w:color w:val="000000"/>
          <w:kern w:val="0"/>
          <w:sz w:val="31"/>
          <w:szCs w:val="31"/>
          <w:lang w:val="en-US" w:eastAsia="zh-CN" w:bidi="ar"/>
        </w:rPr>
        <w:t>支出决算为</w:t>
      </w:r>
      <w:r>
        <w:rPr>
          <w:rFonts w:hint="eastAsia" w:ascii="仿宋_GB2312" w:hAnsi="仿宋_GB2312" w:eastAsia="仿宋_GB2312" w:cs="仿宋_GB2312"/>
          <w:color w:val="000000"/>
          <w:kern w:val="0"/>
          <w:sz w:val="31"/>
          <w:szCs w:val="31"/>
          <w:lang w:val="en-US" w:eastAsia="zh-CN" w:bidi="ar"/>
        </w:rPr>
        <w:t>1095.07</w:t>
      </w:r>
      <w:r>
        <w:rPr>
          <w:rFonts w:ascii="仿宋_GB2312" w:hAnsi="仿宋_GB2312" w:eastAsia="仿宋_GB2312" w:cs="仿宋_GB2312"/>
          <w:color w:val="000000"/>
          <w:kern w:val="0"/>
          <w:sz w:val="31"/>
          <w:szCs w:val="31"/>
          <w:lang w:val="en-US" w:eastAsia="zh-CN" w:bidi="ar"/>
        </w:rPr>
        <w:t xml:space="preserve">万元，完成预算 </w:t>
      </w:r>
    </w:p>
    <w:p>
      <w:pPr>
        <w:keepNext w:val="0"/>
        <w:keepLines w:val="0"/>
        <w:widowControl/>
        <w:suppressLineNumbers w:val="0"/>
        <w:jc w:val="left"/>
      </w:pP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2" w:firstLineChars="200"/>
        <w:jc w:val="left"/>
      </w:pPr>
      <w:r>
        <w:rPr>
          <w:rFonts w:hint="eastAsia" w:ascii="仿宋_GB2312" w:hAnsi="仿宋_GB2312" w:eastAsia="仿宋_GB2312" w:cs="仿宋_GB2312"/>
          <w:b/>
          <w:bCs/>
          <w:color w:val="000000"/>
          <w:kern w:val="0"/>
          <w:sz w:val="31"/>
          <w:szCs w:val="31"/>
          <w:lang w:val="en-US" w:eastAsia="zh-CN" w:bidi="ar"/>
        </w:rPr>
        <w:t>2</w:t>
      </w:r>
      <w:r>
        <w:rPr>
          <w:rFonts w:ascii="仿宋_GB2312" w:hAnsi="仿宋_GB2312" w:eastAsia="仿宋_GB2312" w:cs="仿宋_GB2312"/>
          <w:b/>
          <w:bCs/>
          <w:color w:val="000000"/>
          <w:kern w:val="0"/>
          <w:sz w:val="31"/>
          <w:szCs w:val="31"/>
          <w:lang w:val="en-US" w:eastAsia="zh-CN" w:bidi="ar"/>
        </w:rPr>
        <w:t>.社会保障和就业（类）行政事业单位</w:t>
      </w:r>
      <w:r>
        <w:rPr>
          <w:rFonts w:hint="eastAsia" w:ascii="仿宋_GB2312" w:hAnsi="仿宋_GB2312" w:eastAsia="仿宋_GB2312" w:cs="仿宋_GB2312"/>
          <w:b/>
          <w:bCs/>
          <w:color w:val="000000"/>
          <w:kern w:val="0"/>
          <w:sz w:val="31"/>
          <w:szCs w:val="31"/>
          <w:lang w:val="en-US" w:eastAsia="zh-CN" w:bidi="ar"/>
        </w:rPr>
        <w:t>养老支出</w:t>
      </w:r>
      <w:r>
        <w:rPr>
          <w:rFonts w:ascii="仿宋_GB2312" w:hAnsi="仿宋_GB2312" w:eastAsia="仿宋_GB2312" w:cs="仿宋_GB2312"/>
          <w:b/>
          <w:bCs/>
          <w:color w:val="000000"/>
          <w:kern w:val="0"/>
          <w:sz w:val="31"/>
          <w:szCs w:val="31"/>
          <w:lang w:val="en-US" w:eastAsia="zh-CN" w:bidi="ar"/>
        </w:rPr>
        <w:t>（款）机关事业单位基本养老保险缴费支出（项）:</w:t>
      </w:r>
      <w:r>
        <w:rPr>
          <w:rFonts w:ascii="仿宋_GB2312" w:hAnsi="仿宋_GB2312" w:eastAsia="仿宋_GB2312" w:cs="仿宋_GB2312"/>
          <w:color w:val="000000"/>
          <w:kern w:val="0"/>
          <w:sz w:val="31"/>
          <w:szCs w:val="31"/>
          <w:lang w:val="en-US" w:eastAsia="zh-CN" w:bidi="ar"/>
        </w:rPr>
        <w:t>支出决算为</w:t>
      </w:r>
      <w:r>
        <w:rPr>
          <w:rFonts w:hint="eastAsia" w:ascii="仿宋_GB2312" w:hAnsi="仿宋_GB2312" w:eastAsia="仿宋_GB2312" w:cs="仿宋_GB2312"/>
          <w:color w:val="000000"/>
          <w:kern w:val="0"/>
          <w:sz w:val="31"/>
          <w:szCs w:val="31"/>
          <w:lang w:val="en-US" w:eastAsia="zh-CN" w:bidi="ar"/>
        </w:rPr>
        <w:t>400</w:t>
      </w:r>
      <w:r>
        <w:rPr>
          <w:rFonts w:ascii="仿宋_GB2312" w:hAnsi="仿宋_GB2312" w:eastAsia="仿宋_GB2312" w:cs="仿宋_GB2312"/>
          <w:color w:val="000000"/>
          <w:kern w:val="0"/>
          <w:sz w:val="31"/>
          <w:szCs w:val="31"/>
          <w:lang w:val="en-US" w:eastAsia="zh-CN" w:bidi="ar"/>
        </w:rPr>
        <w:t>万元，完成预算</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2"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3</w:t>
      </w:r>
      <w:r>
        <w:rPr>
          <w:rFonts w:ascii="仿宋_GB2312" w:hAnsi="仿宋_GB2312" w:eastAsia="仿宋_GB2312" w:cs="仿宋_GB2312"/>
          <w:b/>
          <w:bCs/>
          <w:color w:val="000000"/>
          <w:kern w:val="0"/>
          <w:sz w:val="31"/>
          <w:szCs w:val="31"/>
          <w:lang w:val="en-US" w:eastAsia="zh-CN" w:bidi="ar"/>
        </w:rPr>
        <w:t>.社会保障和就业（类）行政事业单位</w:t>
      </w:r>
      <w:r>
        <w:rPr>
          <w:rFonts w:hint="eastAsia" w:ascii="仿宋_GB2312" w:hAnsi="仿宋_GB2312" w:eastAsia="仿宋_GB2312" w:cs="仿宋_GB2312"/>
          <w:b/>
          <w:bCs/>
          <w:color w:val="000000"/>
          <w:kern w:val="0"/>
          <w:sz w:val="31"/>
          <w:szCs w:val="31"/>
          <w:lang w:val="en-US" w:eastAsia="zh-CN" w:bidi="ar"/>
        </w:rPr>
        <w:t>养老支出</w:t>
      </w:r>
      <w:r>
        <w:rPr>
          <w:rFonts w:ascii="仿宋_GB2312" w:hAnsi="仿宋_GB2312" w:eastAsia="仿宋_GB2312" w:cs="仿宋_GB2312"/>
          <w:b/>
          <w:bCs/>
          <w:color w:val="000000"/>
          <w:kern w:val="0"/>
          <w:sz w:val="31"/>
          <w:szCs w:val="31"/>
          <w:lang w:val="en-US" w:eastAsia="zh-CN" w:bidi="ar"/>
        </w:rPr>
        <w:t>（款）机关事业单位职业年金缴费支出（项）:</w:t>
      </w:r>
      <w:r>
        <w:rPr>
          <w:rFonts w:ascii="仿宋_GB2312" w:hAnsi="仿宋_GB2312" w:eastAsia="仿宋_GB2312" w:cs="仿宋_GB2312"/>
          <w:color w:val="000000"/>
          <w:kern w:val="0"/>
          <w:sz w:val="31"/>
          <w:szCs w:val="31"/>
          <w:lang w:val="en-US" w:eastAsia="zh-CN" w:bidi="ar"/>
        </w:rPr>
        <w:t xml:space="preserve">支出决算为 </w:t>
      </w:r>
      <w:r>
        <w:rPr>
          <w:rFonts w:hint="eastAsia" w:ascii="仿宋_GB2312" w:hAnsi="仿宋_GB2312" w:eastAsia="仿宋_GB2312" w:cs="仿宋_GB2312"/>
          <w:color w:val="000000"/>
          <w:kern w:val="0"/>
          <w:sz w:val="31"/>
          <w:szCs w:val="31"/>
          <w:lang w:val="en-US" w:eastAsia="zh-CN" w:bidi="ar"/>
        </w:rPr>
        <w:t>200</w:t>
      </w:r>
      <w:r>
        <w:rPr>
          <w:rFonts w:ascii="仿宋_GB2312" w:hAnsi="仿宋_GB2312" w:eastAsia="仿宋_GB2312" w:cs="仿宋_GB2312"/>
          <w:color w:val="000000"/>
          <w:kern w:val="0"/>
          <w:sz w:val="31"/>
          <w:szCs w:val="31"/>
          <w:lang w:val="en-US" w:eastAsia="zh-CN" w:bidi="ar"/>
        </w:rPr>
        <w:t>万元，完成预算</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43" w:firstLineChars="200"/>
        <w:jc w:val="left"/>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4</w:t>
      </w:r>
      <w:r>
        <w:rPr>
          <w:rStyle w:val="15"/>
          <w:rFonts w:ascii="仿宋" w:hAnsi="仿宋" w:eastAsia="仿宋"/>
          <w:bCs/>
          <w:color w:val="auto"/>
          <w:sz w:val="32"/>
          <w:szCs w:val="32"/>
        </w:rPr>
        <w:t>.</w:t>
      </w:r>
      <w:r>
        <w:rPr>
          <w:rFonts w:hint="eastAsia" w:ascii="仿宋" w:hAnsi="仿宋" w:eastAsia="仿宋"/>
          <w:b/>
          <w:bCs/>
          <w:color w:val="auto"/>
          <w:sz w:val="32"/>
          <w:szCs w:val="32"/>
        </w:rPr>
        <w:t>卫生健康</w:t>
      </w:r>
      <w:r>
        <w:rPr>
          <w:rFonts w:ascii="仿宋_GB2312" w:hAnsi="仿宋_GB2312" w:eastAsia="仿宋_GB2312" w:cs="仿宋_GB2312"/>
          <w:b/>
          <w:bCs/>
          <w:color w:val="000000"/>
          <w:kern w:val="0"/>
          <w:sz w:val="31"/>
          <w:szCs w:val="31"/>
          <w:lang w:val="en-US" w:eastAsia="zh-CN" w:bidi="ar"/>
        </w:rPr>
        <w:t>（类）行政事业单位医疗（款）事业单位医疗（项）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140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6"/>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5</w:t>
      </w:r>
      <w:r>
        <w:rPr>
          <w:rStyle w:val="15"/>
          <w:rFonts w:ascii="仿宋" w:hAnsi="仿宋" w:eastAsia="仿宋"/>
          <w:bCs/>
          <w:color w:val="auto"/>
          <w:sz w:val="32"/>
          <w:szCs w:val="32"/>
        </w:rPr>
        <w:t>.</w:t>
      </w:r>
      <w:r>
        <w:rPr>
          <w:rFonts w:hint="eastAsia" w:ascii="仿宋" w:hAnsi="仿宋" w:eastAsia="仿宋"/>
          <w:b/>
          <w:bCs/>
          <w:color w:val="auto"/>
          <w:sz w:val="32"/>
          <w:szCs w:val="32"/>
          <w:lang w:eastAsia="zh-CN"/>
        </w:rPr>
        <w:t>资源勘探工业信息等</w:t>
      </w:r>
      <w:r>
        <w:rPr>
          <w:rFonts w:ascii="仿宋_GB2312" w:hAnsi="仿宋_GB2312" w:eastAsia="仿宋_GB2312" w:cs="仿宋_GB2312"/>
          <w:b/>
          <w:bCs/>
          <w:color w:val="000000"/>
          <w:kern w:val="0"/>
          <w:sz w:val="31"/>
          <w:szCs w:val="31"/>
          <w:lang w:val="en-US" w:eastAsia="zh-CN" w:bidi="ar"/>
        </w:rPr>
        <w:t>（类）</w:t>
      </w:r>
      <w:r>
        <w:rPr>
          <w:rFonts w:hint="eastAsia" w:hAnsi="仿宋_GB2312" w:cs="仿宋_GB2312"/>
          <w:b/>
          <w:bCs/>
          <w:color w:val="000000"/>
          <w:kern w:val="0"/>
          <w:sz w:val="31"/>
          <w:szCs w:val="31"/>
          <w:lang w:val="en-US" w:eastAsia="zh-CN" w:bidi="ar"/>
        </w:rPr>
        <w:t>资源勘探开发</w:t>
      </w:r>
      <w:r>
        <w:rPr>
          <w:rFonts w:ascii="仿宋_GB2312" w:hAnsi="仿宋_GB2312" w:eastAsia="仿宋_GB2312" w:cs="仿宋_GB2312"/>
          <w:b/>
          <w:bCs/>
          <w:color w:val="000000"/>
          <w:kern w:val="0"/>
          <w:sz w:val="31"/>
          <w:szCs w:val="31"/>
          <w:lang w:val="en-US" w:eastAsia="zh-CN" w:bidi="ar"/>
        </w:rPr>
        <w:t>（款）</w:t>
      </w:r>
      <w:r>
        <w:rPr>
          <w:rFonts w:hint="eastAsia" w:hAnsi="仿宋_GB2312" w:cs="仿宋_GB2312"/>
          <w:b/>
          <w:bCs/>
          <w:color w:val="000000"/>
          <w:kern w:val="0"/>
          <w:sz w:val="31"/>
          <w:szCs w:val="31"/>
          <w:lang w:val="en-US" w:eastAsia="zh-CN" w:bidi="ar"/>
        </w:rPr>
        <w:t>其他资源勘探业支出</w:t>
      </w:r>
      <w:r>
        <w:rPr>
          <w:rFonts w:ascii="仿宋_GB2312" w:hAnsi="仿宋_GB2312" w:eastAsia="仿宋_GB2312" w:cs="仿宋_GB2312"/>
          <w:b/>
          <w:bCs/>
          <w:color w:val="000000"/>
          <w:kern w:val="0"/>
          <w:sz w:val="31"/>
          <w:szCs w:val="31"/>
          <w:lang w:val="en-US" w:eastAsia="zh-CN" w:bidi="ar"/>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3509.94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widowControl/>
        <w:suppressLineNumbers w:val="0"/>
        <w:ind w:firstLine="622" w:firstLineChars="200"/>
        <w:jc w:val="left"/>
        <w:rPr>
          <w:rFonts w:ascii="仿宋" w:hAnsi="仿宋" w:eastAsia="仿宋"/>
          <w:b/>
          <w:color w:val="auto"/>
          <w:sz w:val="32"/>
          <w:szCs w:val="32"/>
          <w:highlight w:val="none"/>
        </w:rPr>
      </w:pPr>
      <w:r>
        <w:rPr>
          <w:rFonts w:hint="eastAsia" w:ascii="仿宋_GB2312" w:hAnsi="仿宋_GB2312" w:eastAsia="仿宋_GB2312" w:cs="仿宋_GB2312"/>
          <w:b/>
          <w:bCs/>
          <w:color w:val="000000"/>
          <w:kern w:val="0"/>
          <w:sz w:val="31"/>
          <w:szCs w:val="31"/>
          <w:lang w:val="en-US" w:eastAsia="zh-CN" w:bidi="ar"/>
        </w:rPr>
        <w:t>6.</w:t>
      </w:r>
      <w:r>
        <w:rPr>
          <w:rFonts w:ascii="仿宋_GB2312" w:hAnsi="仿宋_GB2312" w:eastAsia="仿宋_GB2312" w:cs="仿宋_GB2312"/>
          <w:b/>
          <w:bCs/>
          <w:color w:val="000000"/>
          <w:kern w:val="0"/>
          <w:sz w:val="31"/>
          <w:szCs w:val="31"/>
          <w:lang w:val="en-US" w:eastAsia="zh-CN" w:bidi="ar"/>
        </w:rPr>
        <w:t>住房保障（类）住房改革支出（款）住房公积金（项）: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200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tabs>
          <w:tab w:val="right" w:pos="8306"/>
        </w:tabs>
        <w:spacing w:line="600" w:lineRule="exact"/>
        <w:ind w:firstLine="640"/>
        <w:outlineLvl w:val="1"/>
        <w:rPr>
          <w:rStyle w:val="26"/>
          <w:color w:val="auto"/>
          <w:highlight w:val="none"/>
        </w:rPr>
      </w:pPr>
      <w:bookmarkStart w:id="32" w:name="_Toc15396608"/>
      <w:bookmarkStart w:id="33" w:name="_Toc15377214"/>
      <w:r>
        <w:rPr>
          <w:rFonts w:hint="eastAsia" w:ascii="黑体" w:eastAsia="黑体"/>
          <w:color w:val="auto"/>
          <w:sz w:val="32"/>
          <w:szCs w:val="32"/>
          <w:highlight w:val="none"/>
        </w:rPr>
        <w:t>六</w:t>
      </w:r>
      <w:r>
        <w:rPr>
          <w:rFonts w:hint="eastAsia" w:ascii="黑体" w:eastAsia="黑体"/>
          <w:color w:val="auto"/>
          <w:sz w:val="32"/>
          <w:szCs w:val="32"/>
          <w:highlight w:val="none"/>
          <w:lang w:val="en-US" w:eastAsia="zh-CN"/>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2"/>
      <w:bookmarkEnd w:id="33"/>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5465.01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5348.01</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117</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color w:val="auto"/>
          <w:highlight w:val="none"/>
        </w:rPr>
      </w:pPr>
      <w:bookmarkStart w:id="34" w:name="_Toc15377215"/>
      <w:bookmarkStart w:id="35" w:name="_Toc15396609"/>
      <w:r>
        <w:rPr>
          <w:rFonts w:hint="eastAsia" w:ascii="黑体" w:eastAsia="黑体"/>
          <w:color w:val="auto"/>
          <w:sz w:val="32"/>
          <w:szCs w:val="32"/>
          <w:highlight w:val="none"/>
        </w:rPr>
        <w:t>七</w:t>
      </w:r>
      <w:r>
        <w:rPr>
          <w:rFonts w:hint="eastAsia" w:ascii="黑体" w:eastAsia="黑体"/>
          <w:color w:val="auto"/>
          <w:sz w:val="32"/>
          <w:szCs w:val="32"/>
          <w:highlight w:val="none"/>
          <w:lang w:val="en-US" w:eastAsia="zh-CN"/>
        </w:rPr>
        <w:t>.</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4"/>
      <w:bookmarkEnd w:id="35"/>
    </w:p>
    <w:p>
      <w:pPr>
        <w:pStyle w:val="2"/>
        <w:ind w:left="0" w:leftChars="0" w:firstLine="640" w:firstLineChars="200"/>
      </w:pPr>
      <w:r>
        <w:rPr>
          <w:rFonts w:hint="eastAsia" w:ascii="仿宋_GB2312" w:hAnsi="Times New Roman" w:eastAsia="仿宋_GB2312" w:cs="Times New Roman"/>
          <w:color w:val="auto"/>
          <w:kern w:val="2"/>
          <w:sz w:val="32"/>
          <w:szCs w:val="32"/>
          <w:lang w:val="en-US" w:eastAsia="zh-CN" w:bidi="ar-SA"/>
        </w:rPr>
        <w:t>202</w:t>
      </w:r>
      <w:r>
        <w:rPr>
          <w:rFonts w:hint="eastAsia" w:ascii="仿宋_GB2312" w:eastAsia="仿宋_GB2312" w:cs="Times New Roman"/>
          <w:color w:val="auto"/>
          <w:kern w:val="2"/>
          <w:sz w:val="32"/>
          <w:szCs w:val="32"/>
          <w:lang w:val="en-US" w:eastAsia="zh-CN" w:bidi="ar-SA"/>
        </w:rPr>
        <w:t>1</w:t>
      </w:r>
      <w:r>
        <w:rPr>
          <w:rFonts w:hint="eastAsia" w:ascii="仿宋_GB2312" w:hAnsi="Times New Roman" w:eastAsia="仿宋_GB2312" w:cs="Times New Roman"/>
          <w:color w:val="auto"/>
          <w:kern w:val="2"/>
          <w:sz w:val="32"/>
          <w:szCs w:val="32"/>
          <w:lang w:val="en-US" w:eastAsia="zh-CN" w:bidi="ar-SA"/>
        </w:rPr>
        <w:t>年度本单位无“三公”经费财政拨款支出。本单位为事业单位，无三公经费,</w:t>
      </w:r>
      <w:r>
        <w:rPr>
          <w:rFonts w:hint="eastAsia" w:ascii="仿宋_GB2312" w:eastAsia="仿宋_GB2312" w:cs="Times New Roman"/>
          <w:color w:val="auto"/>
          <w:kern w:val="2"/>
          <w:sz w:val="32"/>
          <w:szCs w:val="32"/>
          <w:lang w:val="en-US" w:eastAsia="zh-CN" w:bidi="ar-SA"/>
        </w:rPr>
        <w:t>2020</w:t>
      </w:r>
      <w:r>
        <w:rPr>
          <w:rFonts w:hint="eastAsia" w:ascii="仿宋_GB2312" w:hAnsi="Times New Roman" w:eastAsia="仿宋_GB2312" w:cs="Times New Roman"/>
          <w:color w:val="auto"/>
          <w:kern w:val="2"/>
          <w:sz w:val="32"/>
          <w:szCs w:val="32"/>
          <w:lang w:val="en-US" w:eastAsia="zh-CN" w:bidi="ar-SA"/>
        </w:rPr>
        <w:t>年三公经费为0，202</w:t>
      </w:r>
      <w:r>
        <w:rPr>
          <w:rFonts w:hint="eastAsia" w:ascii="仿宋_GB2312" w:eastAsia="仿宋_GB2312" w:cs="Times New Roman"/>
          <w:color w:val="auto"/>
          <w:kern w:val="2"/>
          <w:sz w:val="32"/>
          <w:szCs w:val="32"/>
          <w:lang w:val="en-US" w:eastAsia="zh-CN" w:bidi="ar-SA"/>
        </w:rPr>
        <w:t>1</w:t>
      </w:r>
      <w:r>
        <w:rPr>
          <w:rFonts w:hint="eastAsia" w:ascii="仿宋_GB2312" w:hAnsi="Times New Roman" w:eastAsia="仿宋_GB2312" w:cs="Times New Roman"/>
          <w:color w:val="auto"/>
          <w:kern w:val="2"/>
          <w:sz w:val="32"/>
          <w:szCs w:val="32"/>
          <w:lang w:val="en-US" w:eastAsia="zh-CN" w:bidi="ar-SA"/>
        </w:rPr>
        <w:t>年三公经费为0，与上年度一致，与上年度相比无增减变化。</w:t>
      </w:r>
    </w:p>
    <w:p>
      <w:pPr>
        <w:spacing w:line="600" w:lineRule="exact"/>
        <w:ind w:firstLine="640"/>
        <w:outlineLvl w:val="1"/>
        <w:rPr>
          <w:rStyle w:val="26"/>
          <w:rFonts w:ascii="黑体" w:hAnsi="黑体" w:eastAsia="黑体"/>
          <w:color w:val="auto"/>
          <w:highlight w:val="none"/>
        </w:rPr>
      </w:pPr>
      <w:bookmarkStart w:id="36" w:name="_Toc15396610"/>
      <w:bookmarkStart w:id="37" w:name="_Toc15377218"/>
      <w:r>
        <w:rPr>
          <w:rFonts w:hint="eastAsia" w:ascii="黑体" w:eastAsia="黑体"/>
          <w:color w:val="auto"/>
          <w:sz w:val="32"/>
          <w:szCs w:val="32"/>
          <w:highlight w:val="none"/>
        </w:rPr>
        <w:t>八</w:t>
      </w:r>
      <w:r>
        <w:rPr>
          <w:rFonts w:hint="eastAsia" w:ascii="黑体" w:eastAsia="黑体"/>
          <w:color w:val="auto"/>
          <w:sz w:val="32"/>
          <w:szCs w:val="32"/>
          <w:highlight w:val="none"/>
          <w:lang w:val="en-US" w:eastAsia="zh-CN"/>
        </w:rPr>
        <w:t>.</w:t>
      </w:r>
      <w:r>
        <w:rPr>
          <w:rStyle w:val="26"/>
          <w:rFonts w:hint="eastAsia" w:ascii="黑体" w:hAnsi="黑体" w:eastAsia="黑体"/>
          <w:b w:val="0"/>
          <w:color w:val="auto"/>
          <w:highlight w:val="none"/>
        </w:rPr>
        <w:t>政府性基金预算支出决算情况说明</w:t>
      </w:r>
      <w:bookmarkEnd w:id="36"/>
      <w:bookmarkEnd w:id="3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w:t>
      </w:r>
      <w:r>
        <w:rPr>
          <w:rFonts w:hint="eastAsia" w:ascii="仿宋_GB2312" w:eastAsia="仿宋_GB2312"/>
          <w:color w:val="auto"/>
          <w:sz w:val="32"/>
          <w:szCs w:val="32"/>
        </w:rPr>
        <w:t>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numPr>
          <w:ilvl w:val="0"/>
          <w:numId w:val="0"/>
        </w:numPr>
        <w:spacing w:line="600" w:lineRule="exact"/>
        <w:ind w:firstLine="640" w:firstLineChars="200"/>
        <w:outlineLvl w:val="1"/>
        <w:rPr>
          <w:rStyle w:val="26"/>
          <w:rFonts w:ascii="黑体" w:hAnsi="黑体" w:eastAsia="黑体"/>
          <w:b w:val="0"/>
          <w:color w:val="auto"/>
          <w:highlight w:val="none"/>
        </w:rPr>
      </w:pPr>
      <w:bookmarkStart w:id="38" w:name="_Toc15377219"/>
      <w:bookmarkStart w:id="39" w:name="_Toc15396611"/>
      <w:r>
        <w:rPr>
          <w:rStyle w:val="26"/>
          <w:rFonts w:hint="eastAsia" w:ascii="黑体" w:hAnsi="黑体" w:eastAsia="黑体"/>
          <w:b w:val="0"/>
          <w:color w:val="auto"/>
          <w:highlight w:val="none"/>
          <w:lang w:eastAsia="zh-CN"/>
        </w:rPr>
        <w:t>九</w:t>
      </w:r>
      <w:r>
        <w:rPr>
          <w:rStyle w:val="26"/>
          <w:rFonts w:hint="eastAsia" w:ascii="黑体" w:hAnsi="黑体" w:eastAsia="黑体"/>
          <w:b w:val="0"/>
          <w:color w:val="auto"/>
          <w:highlight w:val="none"/>
          <w:lang w:val="en-US" w:eastAsia="zh-CN"/>
        </w:rPr>
        <w:t>.</w:t>
      </w:r>
      <w:r>
        <w:rPr>
          <w:rStyle w:val="26"/>
          <w:rFonts w:hint="eastAsia" w:ascii="黑体" w:hAnsi="黑体" w:eastAsia="黑体"/>
          <w:b w:val="0"/>
          <w:color w:val="auto"/>
          <w:highlight w:val="none"/>
        </w:rPr>
        <w:t>国有资本经营预算支出决算情况说明</w:t>
      </w:r>
      <w:bookmarkEnd w:id="38"/>
      <w:bookmarkEnd w:id="39"/>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600" w:lineRule="exact"/>
        <w:ind w:firstLine="640" w:firstLineChars="200"/>
        <w:outlineLvl w:val="1"/>
        <w:rPr>
          <w:rStyle w:val="26"/>
          <w:rFonts w:hint="eastAsia" w:ascii="黑体" w:hAnsi="黑体" w:eastAsia="黑体"/>
          <w:b w:val="0"/>
          <w:color w:val="auto"/>
          <w:highlight w:val="none"/>
        </w:rPr>
      </w:pPr>
      <w:bookmarkStart w:id="40" w:name="_Toc15396612"/>
      <w:bookmarkStart w:id="41" w:name="_Toc15377221"/>
      <w:r>
        <w:rPr>
          <w:rStyle w:val="26"/>
          <w:rFonts w:hint="eastAsia" w:ascii="黑体" w:hAnsi="黑体" w:eastAsia="黑体"/>
          <w:b w:val="0"/>
          <w:color w:val="auto"/>
          <w:highlight w:val="none"/>
          <w:lang w:eastAsia="zh-CN"/>
        </w:rPr>
        <w:t>十</w:t>
      </w:r>
      <w:r>
        <w:rPr>
          <w:rStyle w:val="26"/>
          <w:rFonts w:hint="eastAsia" w:ascii="黑体" w:hAnsi="黑体" w:eastAsia="黑体"/>
          <w:b w:val="0"/>
          <w:color w:val="auto"/>
          <w:highlight w:val="none"/>
          <w:lang w:val="en-US" w:eastAsia="zh-CN"/>
        </w:rPr>
        <w:t>.</w:t>
      </w:r>
      <w:r>
        <w:rPr>
          <w:rStyle w:val="26"/>
          <w:rFonts w:hint="eastAsia" w:ascii="黑体" w:hAnsi="黑体" w:eastAsia="黑体"/>
          <w:b w:val="0"/>
          <w:color w:val="auto"/>
          <w:highlight w:val="none"/>
        </w:rPr>
        <w:t>其他重要事项的情况说明</w:t>
      </w:r>
      <w:bookmarkEnd w:id="40"/>
      <w:bookmarkEnd w:id="41"/>
    </w:p>
    <w:p>
      <w:pPr>
        <w:spacing w:line="600" w:lineRule="exact"/>
        <w:ind w:firstLine="643" w:firstLineChars="200"/>
        <w:outlineLvl w:val="2"/>
        <w:rPr>
          <w:rFonts w:ascii="仿宋" w:hAnsi="仿宋" w:eastAsia="仿宋"/>
          <w:color w:val="auto"/>
          <w:sz w:val="32"/>
          <w:szCs w:val="32"/>
          <w:highlight w:val="none"/>
        </w:rPr>
      </w:pPr>
      <w:bookmarkStart w:id="42" w:name="_Toc15377222"/>
      <w:r>
        <w:rPr>
          <w:rFonts w:hint="eastAsia" w:ascii="仿宋" w:hAnsi="仿宋" w:eastAsia="仿宋"/>
          <w:b/>
          <w:color w:val="auto"/>
          <w:sz w:val="32"/>
          <w:szCs w:val="32"/>
          <w:highlight w:val="none"/>
        </w:rPr>
        <w:t>（一）机关运行经费支出情况</w:t>
      </w:r>
      <w:bookmarkEnd w:id="42"/>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eastAsia="zh-CN"/>
        </w:rPr>
        <w:t>度本单位无</w:t>
      </w:r>
      <w:r>
        <w:rPr>
          <w:rFonts w:hint="eastAsia" w:ascii="仿宋_GB2312" w:eastAsia="仿宋_GB2312"/>
          <w:color w:val="auto"/>
          <w:sz w:val="32"/>
          <w:szCs w:val="32"/>
        </w:rPr>
        <w:t>机关运行经费支出。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3" w:name="_Toc15377223"/>
      <w:r>
        <w:rPr>
          <w:rFonts w:hint="eastAsia" w:ascii="仿宋" w:hAnsi="仿宋" w:eastAsia="仿宋"/>
          <w:b/>
          <w:color w:val="auto"/>
          <w:sz w:val="32"/>
          <w:szCs w:val="32"/>
          <w:highlight w:val="none"/>
        </w:rPr>
        <w:t>（二）政府采购支出情况</w:t>
      </w:r>
      <w:bookmarkEnd w:id="4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lang w:eastAsia="zh-CN"/>
        </w:rPr>
        <w:t>度本单位无</w:t>
      </w:r>
      <w:r>
        <w:rPr>
          <w:rFonts w:hint="eastAsia" w:ascii="仿宋_GB2312" w:eastAsia="仿宋_GB2312"/>
          <w:color w:val="auto"/>
          <w:sz w:val="32"/>
          <w:szCs w:val="32"/>
        </w:rPr>
        <w:t>政府采购支出。</w:t>
      </w:r>
    </w:p>
    <w:p>
      <w:pPr>
        <w:autoSpaceDE w:val="0"/>
        <w:autoSpaceDN w:val="0"/>
        <w:adjustRightInd w:val="0"/>
        <w:spacing w:line="600" w:lineRule="exact"/>
        <w:ind w:firstLine="643" w:firstLineChars="200"/>
        <w:jc w:val="left"/>
        <w:outlineLvl w:val="2"/>
        <w:rPr>
          <w:rFonts w:hint="eastAsia" w:ascii="仿宋_GB2312" w:eastAsia="仿宋_GB2312"/>
          <w:color w:val="auto"/>
          <w:sz w:val="32"/>
          <w:szCs w:val="32"/>
          <w:highlight w:val="none"/>
        </w:rPr>
      </w:pPr>
      <w:bookmarkStart w:id="44" w:name="_Toc15377224"/>
      <w:r>
        <w:rPr>
          <w:rFonts w:hint="eastAsia" w:ascii="仿宋" w:hAnsi="仿宋" w:eastAsia="仿宋"/>
          <w:b/>
          <w:color w:val="auto"/>
          <w:sz w:val="32"/>
          <w:szCs w:val="32"/>
          <w:highlight w:val="none"/>
        </w:rPr>
        <w:t>（三）国有资产占有使用情况</w:t>
      </w:r>
      <w:bookmarkEnd w:id="44"/>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108地质队</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单位野外业务用车。</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根据预算绩效管理要求，本单位在</w:t>
      </w:r>
      <w:r>
        <w:rPr>
          <w:rFonts w:hint="eastAsia" w:ascii="仿宋_GB2312" w:hAnsi="仿宋_GB2312" w:eastAsia="仿宋_GB2312" w:cs="仿宋_GB2312"/>
          <w:color w:val="auto"/>
          <w:sz w:val="32"/>
          <w:szCs w:val="32"/>
          <w:lang w:val="en-US" w:eastAsia="zh-CN"/>
        </w:rPr>
        <w:t>2021年度</w:t>
      </w:r>
      <w:r>
        <w:rPr>
          <w:rFonts w:hint="eastAsia" w:ascii="仿宋_GB2312" w:hAnsi="仿宋_GB2312" w:eastAsia="仿宋_GB2312" w:cs="仿宋_GB2312"/>
          <w:color w:val="auto"/>
          <w:sz w:val="32"/>
          <w:szCs w:val="32"/>
        </w:rPr>
        <w:t>预算编制阶段，</w:t>
      </w:r>
      <w:r>
        <w:rPr>
          <w:rFonts w:hint="eastAsia" w:ascii="仿宋_GB2312" w:hAnsi="仿宋_GB2312" w:eastAsia="仿宋_GB2312" w:cs="仿宋_GB2312"/>
          <w:color w:val="auto"/>
          <w:sz w:val="32"/>
          <w:szCs w:val="32"/>
          <w:lang w:eastAsia="zh-CN"/>
        </w:rPr>
        <w:t>所有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都不涉及</w:t>
      </w:r>
      <w:r>
        <w:rPr>
          <w:rFonts w:hint="eastAsia" w:ascii="仿宋_GB2312" w:hAnsi="仿宋_GB2312" w:eastAsia="仿宋_GB2312" w:cs="仿宋_GB2312"/>
          <w:color w:val="auto"/>
          <w:sz w:val="32"/>
          <w:szCs w:val="32"/>
        </w:rPr>
        <w:t>编制绩效目标</w:t>
      </w:r>
      <w:r>
        <w:rPr>
          <w:rFonts w:hint="eastAsia" w:ascii="仿宋_GB2312" w:hAnsi="仿宋_GB2312" w:eastAsia="仿宋_GB2312" w:cs="仿宋_GB2312"/>
          <w:color w:val="auto"/>
          <w:sz w:val="32"/>
          <w:szCs w:val="32"/>
          <w:lang w:eastAsia="zh-CN"/>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1"/>
        </w:numPr>
        <w:spacing w:line="600" w:lineRule="exact"/>
        <w:ind w:firstLine="660" w:firstLineChars="150"/>
        <w:jc w:val="center"/>
        <w:outlineLvl w:val="0"/>
        <w:rPr>
          <w:rStyle w:val="25"/>
          <w:rFonts w:ascii="黑体" w:hAnsi="黑体" w:eastAsia="黑体"/>
          <w:b w:val="0"/>
          <w:color w:val="auto"/>
          <w:highlight w:val="none"/>
        </w:rPr>
      </w:pPr>
      <w:bookmarkStart w:id="45" w:name="_Toc15377225"/>
      <w:bookmarkStart w:id="46"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5"/>
      <w:bookmarkEnd w:id="46"/>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hint="eastAsia" w:ascii="仿宋_GB2312" w:eastAsia="仿宋"/>
          <w:sz w:val="32"/>
          <w:szCs w:val="32"/>
          <w:lang w:eastAsia="zh-CN"/>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经营收入：指事业单位在专业业务活动及其辅助活动之外开展非独立核算经营活动取得的收入。</w:t>
      </w:r>
      <w:r>
        <w:rPr>
          <w:rFonts w:hint="eastAsia" w:hAnsi="仿宋"/>
          <w:sz w:val="32"/>
          <w:szCs w:val="32"/>
        </w:rPr>
        <w:t>如单位开展</w:t>
      </w:r>
      <w:r>
        <w:rPr>
          <w:rFonts w:hint="eastAsia" w:hAnsi="仿宋"/>
          <w:sz w:val="32"/>
          <w:szCs w:val="32"/>
          <w:lang w:eastAsia="zh-CN"/>
        </w:rPr>
        <w:t>勘察钻探施工</w:t>
      </w:r>
      <w:r>
        <w:rPr>
          <w:rFonts w:hint="eastAsia" w:hAnsi="仿宋"/>
          <w:sz w:val="32"/>
          <w:szCs w:val="32"/>
        </w:rPr>
        <w:t>取得的收入等</w:t>
      </w:r>
      <w:r>
        <w:rPr>
          <w:rFonts w:hint="eastAsia" w:hAnsi="仿宋"/>
          <w:sz w:val="32"/>
          <w:szCs w:val="32"/>
          <w:lang w:eastAsia="zh-CN"/>
        </w:rPr>
        <w:t>。</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债务预算收入</w:t>
      </w:r>
      <w:r>
        <w:rPr>
          <w:rFonts w:hint="eastAsia" w:ascii="仿宋_GB2312" w:eastAsia="仿宋_GB2312"/>
          <w:sz w:val="32"/>
          <w:szCs w:val="32"/>
        </w:rPr>
        <w:t>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lang w:eastAsia="zh-CN"/>
        </w:rPr>
        <w:t>使用非财政拨款结余</w:t>
      </w:r>
      <w:r>
        <w:rPr>
          <w:rFonts w:hint="eastAsia" w:ascii="仿宋_GB2312" w:eastAsia="仿宋_GB2312"/>
          <w:sz w:val="32"/>
          <w:szCs w:val="32"/>
        </w:rPr>
        <w:t>：指事业单位</w:t>
      </w:r>
      <w:r>
        <w:rPr>
          <w:rFonts w:hint="eastAsia" w:ascii="仿宋_GB2312" w:eastAsia="仿宋_GB2312"/>
          <w:sz w:val="32"/>
          <w:szCs w:val="32"/>
          <w:lang w:eastAsia="zh-CN"/>
        </w:rPr>
        <w:t>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w:t>
      </w:r>
      <w:r>
        <w:rPr>
          <w:rFonts w:hint="eastAsia" w:ascii="仿宋_GB2312" w:eastAsia="仿宋_GB2312"/>
          <w:sz w:val="32"/>
          <w:szCs w:val="32"/>
          <w:lang w:eastAsia="zh-CN"/>
        </w:rPr>
        <w:t>缴纳的所得税、提取的专用结余以及转入非财政拨款结余的金额</w:t>
      </w:r>
      <w:r>
        <w:rPr>
          <w:rFonts w:hint="eastAsia" w:ascii="仿宋_GB2312" w:eastAsia="仿宋_GB2312"/>
          <w:sz w:val="32"/>
          <w:szCs w:val="32"/>
        </w:rPr>
        <w:t>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9</w:t>
      </w:r>
      <w:r>
        <w:rPr>
          <w:rFonts w:ascii="仿宋" w:hAnsi="仿宋" w:eastAsia="仿宋"/>
          <w:color w:val="000000"/>
          <w:sz w:val="32"/>
          <w:szCs w:val="32"/>
        </w:rPr>
        <w:t>.</w:t>
      </w:r>
      <w:r>
        <w:rPr>
          <w:rFonts w:hint="eastAsia" w:ascii="仿宋" w:hAnsi="仿宋" w:eastAsia="仿宋"/>
          <w:color w:val="000000"/>
          <w:sz w:val="32"/>
          <w:szCs w:val="32"/>
        </w:rPr>
        <w:t>社会保障和就业支出（类）行政事业单位养老支出（款）事业单位离退休（项）：指单位的离退休人员的支出。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10</w:t>
      </w:r>
      <w:r>
        <w:rPr>
          <w:rFonts w:ascii="仿宋" w:hAnsi="仿宋" w:eastAsia="仿宋"/>
          <w:color w:val="000000"/>
          <w:sz w:val="32"/>
          <w:szCs w:val="32"/>
        </w:rPr>
        <w:t>.</w:t>
      </w:r>
      <w:r>
        <w:rPr>
          <w:rFonts w:hint="eastAsia" w:ascii="仿宋" w:hAnsi="仿宋" w:eastAsia="仿宋"/>
          <w:color w:val="000000"/>
          <w:sz w:val="32"/>
          <w:szCs w:val="32"/>
        </w:rPr>
        <w:t xml:space="preserve"> 社会保障和就业支出（类）行政事业单位养老支出（款）机关事业单位基本养老保险缴费支出（项）：指实施养老保险制度，由单位缴纳的养老保险费支出。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 xml:space="preserve"> 社会保障和就业支出（类）行政事业单位养老支出（款）机关事业单位职业年金缴费支出：指指实施养老保险制度，由单位缴纳的职业年金支出。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12</w:t>
      </w:r>
      <w:r>
        <w:rPr>
          <w:rFonts w:ascii="仿宋" w:hAnsi="仿宋" w:eastAsia="仿宋"/>
          <w:color w:val="000000"/>
          <w:sz w:val="32"/>
          <w:szCs w:val="32"/>
        </w:rPr>
        <w:t>.</w:t>
      </w:r>
      <w:r>
        <w:rPr>
          <w:rFonts w:hint="eastAsia" w:ascii="仿宋" w:hAnsi="仿宋" w:eastAsia="仿宋"/>
          <w:color w:val="000000"/>
          <w:sz w:val="32"/>
          <w:szCs w:val="32"/>
        </w:rPr>
        <w:t xml:space="preserve"> 社会保障和就业支出（类）抚恤（款）死亡抚恤（项）：指单位退休人员的死亡抚恤金。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13</w:t>
      </w:r>
      <w:r>
        <w:rPr>
          <w:rFonts w:ascii="仿宋" w:hAnsi="仿宋" w:eastAsia="仿宋"/>
          <w:color w:val="000000"/>
          <w:sz w:val="32"/>
          <w:szCs w:val="32"/>
        </w:rPr>
        <w:t>.</w:t>
      </w:r>
      <w:r>
        <w:rPr>
          <w:rFonts w:hint="eastAsia" w:ascii="仿宋" w:hAnsi="仿宋" w:eastAsia="仿宋"/>
          <w:color w:val="000000"/>
          <w:sz w:val="32"/>
          <w:szCs w:val="32"/>
        </w:rPr>
        <w:t>社会保障和就业支出（类）其他社会保障和就业支出（款）其他社会保障和就业支出（项）：指单位为在职职工缴纳的工伤保险和失业保险。</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14</w:t>
      </w:r>
      <w:r>
        <w:rPr>
          <w:rFonts w:ascii="仿宋" w:hAnsi="仿宋" w:eastAsia="仿宋"/>
          <w:color w:val="000000"/>
          <w:sz w:val="32"/>
          <w:szCs w:val="32"/>
        </w:rPr>
        <w:t>.</w:t>
      </w:r>
      <w:r>
        <w:rPr>
          <w:rFonts w:hint="eastAsia" w:ascii="仿宋" w:hAnsi="仿宋" w:eastAsia="仿宋"/>
          <w:color w:val="000000"/>
          <w:sz w:val="32"/>
          <w:szCs w:val="32"/>
        </w:rPr>
        <w:t>卫生健康支出（类）行政职业单位医疗（款）事业单位医疗（项）：指单位为在职职工缴纳的医疗保险。</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15</w:t>
      </w:r>
      <w:r>
        <w:rPr>
          <w:rFonts w:ascii="仿宋" w:hAnsi="仿宋" w:eastAsia="仿宋"/>
          <w:color w:val="000000"/>
          <w:sz w:val="32"/>
          <w:szCs w:val="32"/>
        </w:rPr>
        <w:t>.</w:t>
      </w:r>
      <w:r>
        <w:rPr>
          <w:rFonts w:hint="eastAsia" w:ascii="仿宋" w:hAnsi="仿宋" w:eastAsia="仿宋"/>
          <w:color w:val="000000"/>
          <w:sz w:val="32"/>
          <w:szCs w:val="32"/>
        </w:rPr>
        <w:t>资源勘探工业信息等支出（类）资源勘探开发（款）其他资源勘探支出（项）：指为保障单位正常运转，完成日常工作任务而发生的人员支出和日常公用支出。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住房保障支出（类）住房改革支出（款）住房公积金（项）：指按照《住房公积金管理条例》的规定，由单位缴存的住房公积金。</w:t>
      </w:r>
    </w:p>
    <w:p>
      <w:pPr>
        <w:spacing w:line="600" w:lineRule="exact"/>
        <w:ind w:firstLine="640" w:firstLineChars="200"/>
        <w:rPr>
          <w:rFonts w:hint="eastAsia" w:ascii="仿宋_GB2312" w:eastAsia="仿宋_GB2312"/>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住房保障支出（类）住房改革支出（款）购房补贴（项）：指按房改政策规定的标准，向符合条件的职工发放的用于购买住房的补贴。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jc w:val="left"/>
        <w:rPr>
          <w:rFonts w:ascii="宋体"/>
          <w:b/>
          <w:color w:val="auto"/>
          <w:sz w:val="44"/>
          <w:szCs w:val="44"/>
          <w:highlight w:val="none"/>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47" w:name="_Toc15377226"/>
      <w:r>
        <w:rPr>
          <w:rFonts w:ascii="宋体"/>
          <w:b/>
          <w:color w:val="auto"/>
          <w:sz w:val="44"/>
          <w:szCs w:val="44"/>
          <w:highlight w:val="none"/>
        </w:rPr>
        <w:br w:type="page"/>
      </w:r>
      <w:bookmarkStart w:id="48" w:name="_Toc15396614"/>
    </w:p>
    <w:p>
      <w:pPr>
        <w:pStyle w:val="23"/>
        <w:spacing w:line="560" w:lineRule="exact"/>
        <w:ind w:firstLine="3080" w:firstLineChars="700"/>
        <w:jc w:val="left"/>
        <w:rPr>
          <w:rStyle w:val="25"/>
          <w:rFonts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48"/>
    </w:p>
    <w:p>
      <w:pPr>
        <w:spacing w:line="600" w:lineRule="exact"/>
        <w:jc w:val="center"/>
        <w:outlineLvl w:val="0"/>
        <w:rPr>
          <w:rFonts w:hint="eastAsia" w:ascii="黑体" w:hAnsi="黑体" w:eastAsia="黑体"/>
          <w:color w:val="auto"/>
          <w:sz w:val="44"/>
          <w:szCs w:val="44"/>
          <w:highlight w:val="none"/>
        </w:rPr>
      </w:pPr>
      <w:bookmarkStart w:id="49" w:name="_Toc15396618"/>
    </w:p>
    <w:p>
      <w:pPr>
        <w:widowControl/>
        <w:adjustRightInd w:val="0"/>
        <w:snapToGrid w:val="0"/>
        <w:spacing w:line="580" w:lineRule="exact"/>
        <w:contextualSpacing/>
        <w:jc w:val="left"/>
        <w:rPr>
          <w:color w:val="FF0000"/>
        </w:rPr>
      </w:pPr>
      <w:r>
        <w:rPr>
          <w:rFonts w:hint="eastAsia" w:ascii="仿宋_GB2312" w:hAnsi="宋体" w:eastAsia="仿宋_GB2312" w:cs="宋体"/>
          <w:color w:val="auto"/>
          <w:kern w:val="0"/>
          <w:sz w:val="32"/>
          <w:szCs w:val="32"/>
          <w:shd w:val="clear" w:color="auto" w:fill="FFFFFF"/>
          <w:lang w:val="en-US" w:eastAsia="zh-CN"/>
        </w:rPr>
        <w:t>本年没有两个及以上100万元以上（含）特定目标类部门预算项目的，无需开展绩效目标自评。</w:t>
      </w:r>
    </w:p>
    <w:p>
      <w:pPr>
        <w:spacing w:line="600" w:lineRule="exact"/>
        <w:jc w:val="center"/>
        <w:outlineLvl w:val="0"/>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pStyle w:val="2"/>
        <w:rPr>
          <w:rFonts w:hint="eastAsia" w:ascii="黑体" w:hAnsi="黑体" w:eastAsia="黑体"/>
          <w:color w:val="FF0000"/>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47"/>
      <w:bookmarkEnd w:id="49"/>
      <w:bookmarkStart w:id="5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0"/>
    </w:p>
    <w:p>
      <w:pPr>
        <w:pStyle w:val="4"/>
        <w:rPr>
          <w:rFonts w:ascii="仿宋" w:hAnsi="仿宋" w:eastAsia="仿宋"/>
          <w:color w:val="auto"/>
          <w:highlight w:val="none"/>
        </w:rPr>
      </w:pPr>
      <w:bookmarkStart w:id="51"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1"/>
    </w:p>
    <w:p>
      <w:pPr>
        <w:pStyle w:val="4"/>
        <w:rPr>
          <w:rFonts w:ascii="仿宋" w:hAnsi="仿宋" w:eastAsia="仿宋"/>
          <w:color w:val="auto"/>
          <w:highlight w:val="none"/>
        </w:rPr>
      </w:pPr>
      <w:bookmarkStart w:id="52"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2"/>
    </w:p>
    <w:p>
      <w:pPr>
        <w:pStyle w:val="4"/>
        <w:rPr>
          <w:rFonts w:ascii="仿宋" w:hAnsi="仿宋" w:eastAsia="仿宋"/>
          <w:b w:val="0"/>
          <w:color w:val="auto"/>
          <w:highlight w:val="none"/>
        </w:rPr>
      </w:pPr>
      <w:bookmarkStart w:id="53"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3"/>
    </w:p>
    <w:p>
      <w:pPr>
        <w:pStyle w:val="4"/>
        <w:rPr>
          <w:rStyle w:val="26"/>
          <w:rFonts w:ascii="仿宋" w:hAnsi="仿宋" w:eastAsia="仿宋"/>
          <w:b w:val="0"/>
          <w:bCs w:val="0"/>
          <w:color w:val="auto"/>
          <w:highlight w:val="none"/>
        </w:rPr>
      </w:pPr>
      <w:bookmarkStart w:id="54"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4"/>
      <w:bookmarkStart w:id="55"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5"/>
    </w:p>
    <w:p>
      <w:pPr>
        <w:pStyle w:val="4"/>
        <w:rPr>
          <w:rFonts w:ascii="仿宋" w:hAnsi="仿宋" w:eastAsia="仿宋"/>
          <w:color w:val="auto"/>
          <w:highlight w:val="none"/>
        </w:rPr>
      </w:pPr>
      <w:bookmarkStart w:id="56"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56"/>
    </w:p>
    <w:p>
      <w:pPr>
        <w:pStyle w:val="4"/>
        <w:rPr>
          <w:rFonts w:ascii="仿宋" w:hAnsi="仿宋" w:eastAsia="仿宋"/>
          <w:color w:val="auto"/>
          <w:highlight w:val="none"/>
        </w:rPr>
      </w:pPr>
      <w:bookmarkStart w:id="57"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57"/>
    </w:p>
    <w:p>
      <w:pPr>
        <w:pStyle w:val="4"/>
        <w:rPr>
          <w:rFonts w:ascii="仿宋" w:hAnsi="仿宋" w:eastAsia="仿宋"/>
          <w:color w:val="auto"/>
          <w:highlight w:val="none"/>
        </w:rPr>
      </w:pPr>
      <w:bookmarkStart w:id="58"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58"/>
    </w:p>
    <w:p>
      <w:pPr>
        <w:pStyle w:val="4"/>
        <w:rPr>
          <w:rFonts w:ascii="仿宋" w:hAnsi="仿宋" w:eastAsia="仿宋"/>
          <w:color w:val="auto"/>
          <w:highlight w:val="none"/>
        </w:rPr>
      </w:pPr>
      <w:bookmarkStart w:id="59"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59"/>
    </w:p>
    <w:p>
      <w:pPr>
        <w:pStyle w:val="4"/>
        <w:rPr>
          <w:rFonts w:ascii="仿宋" w:hAnsi="仿宋" w:eastAsia="仿宋"/>
          <w:color w:val="auto"/>
          <w:highlight w:val="none"/>
        </w:rPr>
      </w:pPr>
      <w:bookmarkStart w:id="60"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0"/>
    </w:p>
    <w:p>
      <w:pPr>
        <w:pStyle w:val="4"/>
        <w:rPr>
          <w:rFonts w:ascii="仿宋" w:hAnsi="仿宋" w:eastAsia="仿宋"/>
          <w:color w:val="auto"/>
          <w:highlight w:val="none"/>
        </w:rPr>
      </w:pPr>
      <w:bookmarkStart w:id="61"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1"/>
    </w:p>
    <w:p>
      <w:pPr>
        <w:pStyle w:val="4"/>
        <w:rPr>
          <w:rStyle w:val="26"/>
          <w:rFonts w:hint="eastAsia" w:ascii="仿宋" w:hAnsi="仿宋" w:eastAsia="仿宋"/>
          <w:b w:val="0"/>
          <w:bCs w:val="0"/>
          <w:color w:val="auto"/>
          <w:highlight w:val="none"/>
        </w:rPr>
      </w:pPr>
      <w:bookmarkStart w:id="62"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2"/>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ZmY2MDRlMDlhYzBjYmU5Yjg5YTMyMGNlMzZlZD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A1828"/>
    <w:rsid w:val="0A2032A3"/>
    <w:rsid w:val="0A556ABE"/>
    <w:rsid w:val="0B8029B5"/>
    <w:rsid w:val="0B8A37D8"/>
    <w:rsid w:val="0BA03950"/>
    <w:rsid w:val="0BBF0B33"/>
    <w:rsid w:val="0E2E0176"/>
    <w:rsid w:val="0E2F18F2"/>
    <w:rsid w:val="0E9D47A2"/>
    <w:rsid w:val="105D373D"/>
    <w:rsid w:val="10A11A07"/>
    <w:rsid w:val="10C055FF"/>
    <w:rsid w:val="118107EC"/>
    <w:rsid w:val="11DD6519"/>
    <w:rsid w:val="146120BA"/>
    <w:rsid w:val="15F431D9"/>
    <w:rsid w:val="16BB723D"/>
    <w:rsid w:val="17BF739D"/>
    <w:rsid w:val="18015F3F"/>
    <w:rsid w:val="1BE8440E"/>
    <w:rsid w:val="1CC8782D"/>
    <w:rsid w:val="1D155CEE"/>
    <w:rsid w:val="1DDF37CB"/>
    <w:rsid w:val="1EA71ABD"/>
    <w:rsid w:val="1F300115"/>
    <w:rsid w:val="20F57F95"/>
    <w:rsid w:val="22445871"/>
    <w:rsid w:val="240371BF"/>
    <w:rsid w:val="25C741E6"/>
    <w:rsid w:val="264956AD"/>
    <w:rsid w:val="27757CB8"/>
    <w:rsid w:val="27842671"/>
    <w:rsid w:val="28EC2278"/>
    <w:rsid w:val="29CC46A2"/>
    <w:rsid w:val="29FD04D3"/>
    <w:rsid w:val="2A385C74"/>
    <w:rsid w:val="2ABE7A3E"/>
    <w:rsid w:val="2C797D27"/>
    <w:rsid w:val="2C91156B"/>
    <w:rsid w:val="2EFA178C"/>
    <w:rsid w:val="2F321D0B"/>
    <w:rsid w:val="304A03AA"/>
    <w:rsid w:val="30B46D73"/>
    <w:rsid w:val="319F7F4E"/>
    <w:rsid w:val="32A36B0A"/>
    <w:rsid w:val="33A0247C"/>
    <w:rsid w:val="33A35BD5"/>
    <w:rsid w:val="364B170F"/>
    <w:rsid w:val="36D265F6"/>
    <w:rsid w:val="36D36400"/>
    <w:rsid w:val="372166EF"/>
    <w:rsid w:val="37C14367"/>
    <w:rsid w:val="38765C86"/>
    <w:rsid w:val="39AE70AB"/>
    <w:rsid w:val="3B341509"/>
    <w:rsid w:val="3B5005BB"/>
    <w:rsid w:val="3C0C0783"/>
    <w:rsid w:val="3C84487F"/>
    <w:rsid w:val="3E9968D2"/>
    <w:rsid w:val="3F9F3A96"/>
    <w:rsid w:val="407C02A4"/>
    <w:rsid w:val="41847666"/>
    <w:rsid w:val="418A584C"/>
    <w:rsid w:val="457D6AC5"/>
    <w:rsid w:val="474B2E49"/>
    <w:rsid w:val="47E8680A"/>
    <w:rsid w:val="493C27E9"/>
    <w:rsid w:val="496F39ED"/>
    <w:rsid w:val="49FF41D3"/>
    <w:rsid w:val="4B884409"/>
    <w:rsid w:val="4BE068DB"/>
    <w:rsid w:val="4BF6002B"/>
    <w:rsid w:val="4CC8139E"/>
    <w:rsid w:val="4E9E5C46"/>
    <w:rsid w:val="4ECE2238"/>
    <w:rsid w:val="51DB4B86"/>
    <w:rsid w:val="54122832"/>
    <w:rsid w:val="55333C3E"/>
    <w:rsid w:val="571832C4"/>
    <w:rsid w:val="58271E88"/>
    <w:rsid w:val="596644A4"/>
    <w:rsid w:val="5DC05209"/>
    <w:rsid w:val="5FD56AC2"/>
    <w:rsid w:val="60011BE0"/>
    <w:rsid w:val="62CC64CA"/>
    <w:rsid w:val="64CA39A1"/>
    <w:rsid w:val="64ED37AB"/>
    <w:rsid w:val="652322D7"/>
    <w:rsid w:val="665A10A4"/>
    <w:rsid w:val="673C2932"/>
    <w:rsid w:val="67D96E56"/>
    <w:rsid w:val="69921D6A"/>
    <w:rsid w:val="6B5E2426"/>
    <w:rsid w:val="6C4A05C8"/>
    <w:rsid w:val="6EBA6FC6"/>
    <w:rsid w:val="6ED15E26"/>
    <w:rsid w:val="6F36560B"/>
    <w:rsid w:val="722147BA"/>
    <w:rsid w:val="72734D90"/>
    <w:rsid w:val="728B5BC0"/>
    <w:rsid w:val="74F76249"/>
    <w:rsid w:val="752C3879"/>
    <w:rsid w:val="76956B57"/>
    <w:rsid w:val="79E7B28D"/>
    <w:rsid w:val="7A055599"/>
    <w:rsid w:val="7A174C25"/>
    <w:rsid w:val="7AB77117"/>
    <w:rsid w:val="7AE549AF"/>
    <w:rsid w:val="7B841131"/>
    <w:rsid w:val="7C4A7D63"/>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样式"/>
    <w:basedOn w:val="1"/>
    <w:qFormat/>
    <w:uiPriority w:val="0"/>
    <w:pPr>
      <w:adjustRightInd w:val="0"/>
      <w:snapToGrid w:val="0"/>
      <w:spacing w:line="520" w:lineRule="exact"/>
      <w:ind w:firstLine="562"/>
    </w:pPr>
    <w:rPr>
      <w:rFonts w:ascii="Times New Roman"/>
      <w:color w:val="000000"/>
      <w:sz w:val="28"/>
      <w:szCs w:val="2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72180451128"/>
          <c:y val="0.0629722921914358"/>
          <c:w val="0.858556390977444"/>
          <c:h val="0.70816120906801"/>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29857.8</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1">
                  <c:v>29269.58</c:v>
                </c:pt>
              </c:numCache>
            </c:numRef>
          </c:val>
        </c:ser>
        <c:dLbls>
          <c:showLegendKey val="0"/>
          <c:showVal val="1"/>
          <c:showCatName val="0"/>
          <c:showSerName val="0"/>
          <c:showPercent val="0"/>
          <c:showBubbleSize val="0"/>
        </c:dLbls>
        <c:gapWidth val="75"/>
        <c:overlap val="0"/>
        <c:axId val="70051006"/>
        <c:axId val="890662055"/>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7005100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662055"/>
        <c:crosses val="autoZero"/>
        <c:auto val="1"/>
        <c:lblAlgn val="ctr"/>
        <c:lblOffset val="100"/>
        <c:noMultiLvlLbl val="0"/>
      </c:catAx>
      <c:valAx>
        <c:axId val="89066205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0510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5545.01万元1</a:t>
                    </a:r>
                    <a:r>
                      <a:rPr lang="en-US" altLang="zh-CN"/>
                      <a:t>8.94</a:t>
                    </a:r>
                    <a:r>
                      <a:t>%</a:t>
                    </a:r>
                  </a:p>
                </c:rich>
              </c:tx>
              <c:dLblPos val="inEnd"/>
              <c:showLegendKey val="0"/>
              <c:showVal val="1"/>
              <c:showCatName val="0"/>
              <c:showSerName val="0"/>
              <c:showPercent val="1"/>
              <c:showBubbleSize val="0"/>
              <c:extLst>
                <c:ext xmlns:c15="http://schemas.microsoft.com/office/drawing/2012/chart" uri="{CE6537A1-D6FC-4f65-9D91-7224C49458BB}">
                  <c15:layout>
                    <c:manualLayout>
                      <c:w val="0.155375"/>
                      <c:h val="0.121"/>
                    </c:manualLayout>
                  </c15:layout>
                </c:ext>
              </c:extLst>
            </c:dLbl>
            <c:dLbl>
              <c:idx val="1"/>
              <c:layout>
                <c:manualLayout>
                  <c:x val="-0.150538157014633"/>
                  <c:y val="0.040710246811473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1.62</a:t>
                    </a:r>
                    <a:r>
                      <a:t>%</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153375"/>
                      <c:h val="0.0641666666666667"/>
                    </c:manualLayout>
                  </c15:layout>
                </c:ext>
              </c:extLst>
            </c:dLbl>
            <c:dLbl>
              <c:idx val="2"/>
              <c:layout>
                <c:manualLayout>
                  <c:x val="0.135619426028634"/>
                  <c:y val="-0.10825982772365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23251.38万元79</a:t>
                    </a:r>
                    <a:r>
                      <a:rPr lang="en-US" altLang="zh-CN"/>
                      <a:t>.44</a:t>
                    </a:r>
                    <a:r>
                      <a:t>%</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19475"/>
                      <c:h val="0.137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一般公务预算财政拨款收入</c:v>
                </c:pt>
                <c:pt idx="1">
                  <c:v>经营收入</c:v>
                </c:pt>
                <c:pt idx="2">
                  <c:v>其他收入</c:v>
                </c:pt>
              </c:strCache>
            </c:strRef>
          </c:cat>
          <c:val>
            <c:numRef>
              <c:f>Sheet1!$B$2:$B$4</c:f>
              <c:numCache>
                <c:formatCode>General</c:formatCode>
                <c:ptCount val="3"/>
                <c:pt idx="0">
                  <c:v>5545.01</c:v>
                </c:pt>
                <c:pt idx="1">
                  <c:v>473.19</c:v>
                </c:pt>
                <c:pt idx="2">
                  <c:v>23251.38</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6407.83</a:t>
                    </a:r>
                    <a:r>
                      <a:rPr altLang="en-US"/>
                      <a:t>万元</a:t>
                    </a:r>
                    <a:endParaRPr altLang="en-US"/>
                  </a:p>
                  <a:p>
                    <a:pPr defTabSz="914400">
                      <a:defRPr lang="zh-CN" sz="900" b="0" i="0" u="none" strike="noStrike" kern="1200" baseline="0">
                        <a:solidFill>
                          <a:schemeClr val="tx1">
                            <a:lumMod val="75000"/>
                            <a:lumOff val="25000"/>
                          </a:schemeClr>
                        </a:solidFill>
                        <a:latin typeface="+mn-lt"/>
                        <a:ea typeface="+mn-ea"/>
                        <a:cs typeface="+mn-cs"/>
                      </a:defRPr>
                    </a:pPr>
                    <a:r>
                      <a:t>25</a:t>
                    </a:r>
                    <a:r>
                      <a:rPr lang="en-US" altLang="zh-CN"/>
                      <a:t>.27</a:t>
                    </a:r>
                    <a:r>
                      <a:t>%</a:t>
                    </a:r>
                  </a:p>
                </c:rich>
              </c:tx>
              <c:dLblPos val="inEnd"/>
              <c:showLegendKey val="0"/>
              <c:showVal val="0"/>
              <c:showCatName val="0"/>
              <c:showSerName val="0"/>
              <c:showPercent val="1"/>
              <c:showBubbleSize val="0"/>
              <c:extLst>
                <c:ext xmlns:c15="http://schemas.microsoft.com/office/drawing/2012/chart" uri="{CE6537A1-D6FC-4f65-9D91-7224C49458BB}">
                  <c15:layout>
                    <c:manualLayout>
                      <c:w val="0.150375"/>
                      <c:h val="0.116166666666667"/>
                    </c:manualLayout>
                  </c15:layout>
                </c:ext>
              </c:extLst>
            </c:dLbl>
            <c:dLbl>
              <c:idx val="1"/>
              <c:layout>
                <c:manualLayout>
                  <c:x val="0.163095200847424"/>
                  <c:y val="-0.1322092559939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18489.81</a:t>
                    </a:r>
                    <a:r>
                      <a:rPr altLang="en-US"/>
                      <a:t>万元</a:t>
                    </a:r>
                    <a:r>
                      <a:t>7</a:t>
                    </a:r>
                    <a:r>
                      <a:rPr lang="en-US" altLang="zh-CN"/>
                      <a:t>2.91</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9"/>
                      <c:h val="0.0968333333333333"/>
                    </c:manualLayout>
                  </c15:layout>
                </c:ext>
              </c:extLst>
            </c:dLbl>
            <c:dLbl>
              <c:idx val="2"/>
              <c:layout>
                <c:manualLayout>
                  <c:x val="0.00896068618325182"/>
                  <c:y val="0.09492867979920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1.82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General</c:formatCode>
                <c:ptCount val="4"/>
                <c:pt idx="0">
                  <c:v>6407.83</c:v>
                </c:pt>
                <c:pt idx="1">
                  <c:v>18489.81</c:v>
                </c:pt>
                <c:pt idx="2">
                  <c:v>462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58482370976"/>
          <c:y val="0.277897861717139"/>
          <c:w val="0.716875"/>
          <c:h val="0.712333333333333"/>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5469.22</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5545.01</c:v>
                </c:pt>
              </c:numCache>
            </c:numRef>
          </c:val>
        </c:ser>
        <c:dLbls>
          <c:showLegendKey val="0"/>
          <c:showVal val="1"/>
          <c:showCatName val="0"/>
          <c:showSerName val="0"/>
          <c:showPercent val="0"/>
          <c:showBubbleSize val="0"/>
        </c:dLbls>
        <c:gapWidth val="150"/>
        <c:overlap val="-25"/>
        <c:axId val="62377673"/>
        <c:axId val="593105680"/>
      </c:barChart>
      <c:lineChart>
        <c:grouping val="standard"/>
        <c:varyColors val="0"/>
        <c:dLbls>
          <c:showLegendKey val="0"/>
          <c:showVal val="1"/>
          <c:showCatName val="0"/>
          <c:showSerName val="0"/>
          <c:showPercent val="0"/>
          <c:showBubbleSize val="0"/>
        </c:dLbls>
        <c:marker val="0"/>
        <c:smooth val="0"/>
        <c:axId val="62377673"/>
        <c:axId val="593105680"/>
        <c:extLst>
          <c:ext xmlns:c15="http://schemas.microsoft.com/office/drawing/2012/chart" uri="{02D57815-91ED-43cb-92C2-25804820EDAC}">
            <c15:filteredLineSeries>
              <c15:ser>
                <c:idx val="2"/>
                <c:order val="2"/>
                <c:tx>
                  <c:strRef>
                    <c:extLst>
                      <c:ext uri="{02D57815-91ED-43cb-92C2-25804820EDAC}">
                        <c15:formulaRef>
                          <c15:sqref>Sheet1!#REF!</c15:sqref>
                        </c15:formulaRef>
                      </c:ext>
                    </c:extLst>
                    <c:strCache>
                      <c:ptCount val="1"/>
                      <c:pt idx="0">
                        <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ullRef>
                          <c15:sqref/>
                        </c15:fullRef>
                        <c15:formulaRef>
                          <c15:sqref>Sheet1!$A$2</c15:sqref>
                        </c15:formulaRef>
                      </c:ext>
                    </c:extLst>
                    <c:numCache>
                      <c:ptCount val="0"/>
                    </c:numCache>
                  </c:numRef>
                </c:cat>
                <c:val>
                  <c:numRef>
                    <c:extLst>
                      <c:ext uri="{02D57815-91ED-43cb-92C2-25804820EDAC}">
                        <c15:formulaRef>
                          <c15:sqref>Sheet1!#REF!</c15:sqref>
                        </c15:formulaRef>
                      </c:ext>
                    </c:extLst>
                    <c:numCache>
                      <c:formatCode>General</c:formatCode>
                      <c:ptCount val="1"/>
                      <c:pt idx="0">
                        <c:v>1</c:v>
                      </c:pt>
                    </c:numCache>
                  </c:numRef>
                </c:val>
                <c:smooth val="0"/>
              </c15:ser>
            </c15:filteredLineSeries>
          </c:ext>
        </c:extLst>
      </c:lineChart>
      <c:catAx>
        <c:axId val="6237767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105680"/>
        <c:crosses val="autoZero"/>
        <c:auto val="1"/>
        <c:lblAlgn val="ctr"/>
        <c:lblOffset val="100"/>
        <c:noMultiLvlLbl val="0"/>
      </c:catAx>
      <c:valAx>
        <c:axId val="59310568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77673"/>
        <c:crosses val="autoZero"/>
        <c:crossBetween val="between"/>
      </c:valAx>
      <c:spPr>
        <a:noFill/>
        <a:ln>
          <a:noFill/>
        </a:ln>
        <a:effectLst/>
      </c:spPr>
    </c:plotArea>
    <c:legend>
      <c:legendPos val="t"/>
      <c:layout>
        <c:manualLayout>
          <c:xMode val="edge"/>
          <c:yMode val="edge"/>
          <c:x val="0.304574579049322"/>
          <c:y val="0.06823027718550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一般公共预算财政拨款支出决算变动情况图</a:t>
            </a:r>
            <a:endParaRPr b="1"/>
          </a:p>
        </c:rich>
      </c:tx>
      <c:layout/>
      <c:overlay val="0"/>
      <c:spPr>
        <a:noFill/>
        <a:ln>
          <a:noFill/>
        </a:ln>
        <a:effectLst/>
      </c:spPr>
    </c:title>
    <c:autoTitleDeleted val="0"/>
    <c:plotArea>
      <c:layout>
        <c:manualLayout>
          <c:layoutTarget val="inner"/>
          <c:xMode val="edge"/>
          <c:yMode val="edge"/>
          <c:x val="0.0338457199266676"/>
          <c:y val="0.211700537995965"/>
          <c:w val="0.945"/>
          <c:h val="0.716566666666667"/>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5469.22</c:v>
                </c:pt>
              </c:numCache>
            </c:numRef>
          </c:val>
        </c:ser>
        <c:ser>
          <c:idx val="1"/>
          <c:order val="1"/>
          <c:tx>
            <c:strRef>
              <c:f>Sheet1!$C$1</c:f>
              <c:strCache>
                <c:ptCount val="1"/>
                <c:pt idx="0">
                  <c:v>2021年</c:v>
                </c:pt>
              </c:strCache>
            </c:strRef>
          </c:tx>
          <c:spPr>
            <a:solidFill>
              <a:schemeClr val="accent2"/>
            </a:solidFill>
            <a:ln>
              <a:solidFill>
                <a:srgbClr val="0000FF"/>
              </a:solid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5545.01</c:v>
                </c:pt>
              </c:numCache>
            </c:numRef>
          </c:val>
        </c:ser>
        <c:dLbls>
          <c:showLegendKey val="0"/>
          <c:showVal val="1"/>
          <c:showCatName val="0"/>
          <c:showSerName val="0"/>
          <c:showPercent val="0"/>
          <c:showBubbleSize val="0"/>
        </c:dLbls>
        <c:gapWidth val="150"/>
        <c:overlap val="-25"/>
        <c:axId val="77152863"/>
        <c:axId val="343018596"/>
      </c:barChart>
      <c:lineChart>
        <c:grouping val="standard"/>
        <c:varyColors val="0"/>
        <c:dLbls>
          <c:showLegendKey val="0"/>
          <c:showVal val="1"/>
          <c:showCatName val="0"/>
          <c:showSerName val="0"/>
          <c:showPercent val="0"/>
          <c:showBubbleSize val="0"/>
        </c:dLbls>
        <c:marker val="0"/>
        <c:smooth val="0"/>
        <c:axId val="77152863"/>
        <c:axId val="343018596"/>
        <c:extLst>
          <c:ext xmlns:c15="http://schemas.microsoft.com/office/drawing/2012/chart" uri="{02D57815-91ED-43cb-92C2-25804820EDAC}">
            <c15:filteredLineSeries>
              <c15:ser>
                <c:idx val="2"/>
                <c:order val="2"/>
                <c:tx>
                  <c:strRef>
                    <c:extLst>
                      <c:ext uri="{02D57815-91ED-43cb-92C2-25804820EDAC}">
                        <c15:formulaRef>
                          <c15:sqref>Sheet1!#REF!</c15:sqref>
                        </c15:formulaRef>
                      </c:ext>
                    </c:extLst>
                    <c:strCache>
                      <c:ptCount val="1"/>
                      <c:pt idx="0">
                        <c:v/>
                      </c:pt>
                    </c:strCache>
                  </c:strRef>
                </c:tx>
                <c:spPr>
                  <a:ln w="28575" cap="rnd">
                    <a:solidFill>
                      <a:schemeClr val="accent3"/>
                    </a:solidFill>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extLst>
                      <c:ext uri="{02D57815-91ED-43cb-92C2-25804820EDAC}">
                        <c15:fullRef>
                          <c15:sqref/>
                        </c15:fullRef>
                        <c15:formulaRef>
                          <c15:sqref>Sheet1!$A$2</c15:sqref>
                        </c15:formulaRef>
                      </c:ext>
                    </c:extLst>
                    <c:numCache>
                      <c:ptCount val="0"/>
                    </c:numCache>
                  </c:numRef>
                </c:cat>
                <c:val>
                  <c:numRef>
                    <c:extLst>
                      <c:ext uri="{02D57815-91ED-43cb-92C2-25804820EDAC}">
                        <c15:formulaRef>
                          <c15:sqref>Sheet1!#REF!</c15:sqref>
                        </c15:formulaRef>
                      </c:ext>
                    </c:extLst>
                    <c:numCache>
                      <c:formatCode>General</c:formatCode>
                      <c:ptCount val="1"/>
                      <c:pt idx="0">
                        <c:v>1</c:v>
                      </c:pt>
                    </c:numCache>
                  </c:numRef>
                </c:val>
                <c:smooth val="0"/>
              </c15:ser>
            </c15:filteredLineSeries>
          </c:ext>
        </c:extLst>
      </c:lineChart>
      <c:catAx>
        <c:axId val="771528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018596"/>
        <c:crosses val="autoZero"/>
        <c:auto val="1"/>
        <c:lblAlgn val="ctr"/>
        <c:lblOffset val="100"/>
        <c:noMultiLvlLbl val="0"/>
      </c:catAx>
      <c:valAx>
        <c:axId val="34301859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52863"/>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zh-CN"/>
              <a:t>一般公共预算财政拨款支出决算结构图</a:t>
            </a:r>
            <a:endParaRPr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185705506204622"/>
                  <c:y val="0.171128431112422"/>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1695.07万元, 3</a:t>
                    </a:r>
                    <a:r>
                      <a:rPr lang="en-US" altLang="zh-CN"/>
                      <a:t>0.57</a:t>
                    </a:r>
                    <a:r>
                      <a:t>%</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18225"/>
                      <c:h val="0.133833333333333"/>
                    </c:manualLayout>
                  </c15:layout>
                </c:ext>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140万元, 2</a:t>
                    </a:r>
                    <a:r>
                      <a:rPr lang="en-US" altLang="zh-CN"/>
                      <a:t>.52</a:t>
                    </a:r>
                    <a:r>
                      <a:t>%</a:t>
                    </a:r>
                  </a:p>
                </c:rich>
              </c:tx>
              <c:dLblPos val="ctr"/>
              <c:showLegendKey val="0"/>
              <c:showVal val="1"/>
              <c:showCatName val="0"/>
              <c:showSerName val="0"/>
              <c:showPercent val="1"/>
              <c:showBubbleSize val="0"/>
              <c:extLst>
                <c:ext xmlns:c15="http://schemas.microsoft.com/office/drawing/2012/chart" uri="{CE6537A1-D6FC-4f65-9D91-7224C49458BB}">
                  <c15:layout>
                    <c:manualLayout>
                      <c:w val="0.15525"/>
                      <c:h val="0.091"/>
                    </c:manualLayout>
                  </c15:layout>
                </c:ext>
              </c:extLst>
            </c:dLbl>
            <c:dLbl>
              <c:idx val="2"/>
              <c:layout>
                <c:manualLayout>
                  <c:x val="-0.151126350164907"/>
                  <c:y val="-0.096638179674256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200万元, </a:t>
                    </a:r>
                    <a:r>
                      <a:rPr lang="en-US" altLang="zh-CN"/>
                      <a:t>3.61</a:t>
                    </a:r>
                    <a:r>
                      <a:t>%</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142125"/>
                      <c:h val="0.111"/>
                    </c:manualLayout>
                  </c15:layout>
                </c:ext>
              </c:extLst>
            </c:dLbl>
            <c:dLbl>
              <c:idx val="3"/>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3509.94万元, 63</a:t>
                    </a:r>
                    <a:r>
                      <a:rPr lang="en-US" altLang="zh-CN"/>
                      <a:t>.3</a:t>
                    </a:r>
                    <a:r>
                      <a:t>%</a:t>
                    </a:r>
                  </a:p>
                </c:rich>
              </c:tx>
              <c:dLblPos val="ctr"/>
              <c:showLegendKey val="0"/>
              <c:showVal val="1"/>
              <c:showCatName val="0"/>
              <c:showSerName val="0"/>
              <c:showPercent val="1"/>
              <c:showBubbleSize val="0"/>
              <c:extLst>
                <c:ext xmlns:c15="http://schemas.microsoft.com/office/drawing/2012/chart" uri="{CE6537A1-D6FC-4f65-9D91-7224C49458BB}">
                  <c15:layout>
                    <c:manualLayout>
                      <c:w val="0.149375"/>
                      <c:h val="0.0966666666666667"/>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社会保障和就业支出</c:v>
                </c:pt>
                <c:pt idx="1">
                  <c:v>卫生健康支出</c:v>
                </c:pt>
                <c:pt idx="2">
                  <c:v>住房保障支出</c:v>
                </c:pt>
                <c:pt idx="3">
                  <c:v>资源勘探工业信息等支出</c:v>
                </c:pt>
              </c:strCache>
            </c:strRef>
          </c:cat>
          <c:val>
            <c:numRef>
              <c:f>Sheet1!$B$2:$B$5</c:f>
              <c:numCache>
                <c:formatCode>General</c:formatCode>
                <c:ptCount val="4"/>
                <c:pt idx="0">
                  <c:v>1695.07</c:v>
                </c:pt>
                <c:pt idx="1">
                  <c:v>140</c:v>
                </c:pt>
                <c:pt idx="2">
                  <c:v>200</c:v>
                </c:pt>
                <c:pt idx="3">
                  <c:v>3509.94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5318</Words>
  <Characters>6175</Characters>
  <Lines>61</Lines>
  <Paragraphs>17</Paragraphs>
  <TotalTime>3</TotalTime>
  <ScaleCrop>false</ScaleCrop>
  <LinksUpToDate>false</LinksUpToDate>
  <CharactersWithSpaces>6216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崔艳平</cp:lastModifiedBy>
  <cp:lastPrinted>2022-08-06T02:23:00Z</cp:lastPrinted>
  <dcterms:modified xsi:type="dcterms:W3CDTF">2022-11-11T07:28:51Z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4CA62D7528FB40F0A3C04C214EE0B6C3</vt:lpwstr>
  </property>
</Properties>
</file>