
<file path=[Content_Types].xml><?xml version="1.0" encoding="utf-8"?>
<Types xmlns="http://schemas.openxmlformats.org/package/2006/content-types">
  <Default Extension="xlsx" ContentType="application/vnd.openxmlformats-officedocument.spreadsheetml.sheet"/>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outlineLvl w:val="0"/>
        <w:rPr>
          <w:rFonts w:hint="default" w:ascii="方正小标宋简体" w:hAnsi="宋体" w:eastAsia="方正小标宋简体"/>
          <w:color w:val="auto"/>
          <w:sz w:val="72"/>
          <w:szCs w:val="72"/>
          <w:highlight w:val="none"/>
          <w:lang w:val="en-US" w:eastAsia="zh-CN"/>
        </w:rPr>
      </w:pPr>
      <w:bookmarkStart w:id="0" w:name="_Toc15306267"/>
    </w:p>
    <w:p>
      <w:pPr>
        <w:spacing w:line="600" w:lineRule="exact"/>
        <w:jc w:val="center"/>
        <w:outlineLvl w:val="0"/>
        <w:rPr>
          <w:rFonts w:ascii="方正小标宋简体" w:hAnsi="宋体" w:eastAsia="方正小标宋简体"/>
          <w:color w:val="auto"/>
          <w:sz w:val="72"/>
          <w:szCs w:val="72"/>
          <w:highlight w:val="none"/>
        </w:rPr>
      </w:pPr>
    </w:p>
    <w:p>
      <w:pPr>
        <w:spacing w:line="600" w:lineRule="exact"/>
        <w:jc w:val="center"/>
        <w:outlineLvl w:val="0"/>
        <w:rPr>
          <w:rFonts w:ascii="方正小标宋简体" w:hAnsi="宋体" w:eastAsia="方正小标宋简体"/>
          <w:color w:val="auto"/>
          <w:sz w:val="72"/>
          <w:szCs w:val="72"/>
          <w:highlight w:val="none"/>
        </w:rPr>
      </w:pPr>
    </w:p>
    <w:p>
      <w:pPr>
        <w:spacing w:line="600" w:lineRule="exact"/>
        <w:jc w:val="center"/>
        <w:outlineLvl w:val="0"/>
        <w:rPr>
          <w:rFonts w:ascii="方正小标宋简体" w:hAnsi="宋体" w:eastAsia="方正小标宋简体"/>
          <w:color w:val="auto"/>
          <w:sz w:val="72"/>
          <w:szCs w:val="72"/>
          <w:highlight w:val="none"/>
        </w:rPr>
      </w:pPr>
    </w:p>
    <w:p>
      <w:pPr>
        <w:adjustRightInd w:val="0"/>
        <w:snapToGrid w:val="0"/>
        <w:spacing w:line="360" w:lineRule="auto"/>
        <w:jc w:val="center"/>
        <w:outlineLvl w:val="0"/>
        <w:rPr>
          <w:rFonts w:hint="eastAsia" w:ascii="方正小标宋简体" w:hAnsi="方正小标宋简体" w:eastAsia="方正小标宋简体" w:cs="方正小标宋简体"/>
          <w:color w:val="auto"/>
          <w:sz w:val="72"/>
          <w:szCs w:val="72"/>
          <w:highlight w:val="none"/>
        </w:rPr>
      </w:pPr>
      <w:bookmarkStart w:id="1" w:name="_Toc15378441"/>
      <w:bookmarkStart w:id="2" w:name="_Toc15396475"/>
      <w:bookmarkStart w:id="3" w:name="_Toc15396597"/>
      <w:bookmarkStart w:id="4" w:name="_Toc15377425"/>
      <w:bookmarkStart w:id="5" w:name="_Toc15377193"/>
      <w:r>
        <w:rPr>
          <w:rFonts w:hint="eastAsia" w:ascii="方正小标宋简体" w:hAnsi="方正小标宋简体" w:eastAsia="方正小标宋简体" w:cs="方正小标宋简体"/>
          <w:color w:val="auto"/>
          <w:sz w:val="72"/>
          <w:szCs w:val="72"/>
          <w:highlight w:val="none"/>
        </w:rPr>
        <w:t>20</w:t>
      </w:r>
      <w:r>
        <w:rPr>
          <w:rFonts w:hint="eastAsia" w:ascii="方正小标宋简体" w:hAnsi="方正小标宋简体" w:eastAsia="方正小标宋简体" w:cs="方正小标宋简体"/>
          <w:color w:val="auto"/>
          <w:sz w:val="72"/>
          <w:szCs w:val="72"/>
          <w:highlight w:val="none"/>
          <w:lang w:val="en-US" w:eastAsia="zh-CN"/>
        </w:rPr>
        <w:t>21</w:t>
      </w:r>
      <w:r>
        <w:rPr>
          <w:rFonts w:hint="eastAsia" w:ascii="方正小标宋简体" w:hAnsi="方正小标宋简体" w:eastAsia="方正小标宋简体" w:cs="方正小标宋简体"/>
          <w:color w:val="auto"/>
          <w:sz w:val="72"/>
          <w:szCs w:val="72"/>
          <w:highlight w:val="none"/>
        </w:rPr>
        <w:t>年度</w:t>
      </w:r>
      <w:bookmarkEnd w:id="1"/>
      <w:bookmarkEnd w:id="2"/>
      <w:bookmarkEnd w:id="3"/>
      <w:bookmarkEnd w:id="4"/>
      <w:bookmarkEnd w:id="5"/>
    </w:p>
    <w:bookmarkEnd w:id="0"/>
    <w:p>
      <w:pPr>
        <w:adjustRightInd w:val="0"/>
        <w:snapToGrid w:val="0"/>
        <w:spacing w:line="360" w:lineRule="auto"/>
        <w:jc w:val="center"/>
        <w:outlineLvl w:val="0"/>
        <w:rPr>
          <w:rFonts w:hint="eastAsia" w:ascii="方正小标宋简体" w:hAnsi="方正小标宋简体" w:eastAsia="方正小标宋简体" w:cs="方正小标宋简体"/>
          <w:color w:val="auto"/>
          <w:sz w:val="72"/>
          <w:szCs w:val="72"/>
          <w:highlight w:val="none"/>
        </w:rPr>
      </w:pPr>
      <w:bookmarkStart w:id="6" w:name="_Toc15378442"/>
      <w:bookmarkStart w:id="7" w:name="_Toc15377426"/>
      <w:bookmarkStart w:id="8" w:name="_Toc15396598"/>
      <w:bookmarkStart w:id="9" w:name="_Toc15377194"/>
      <w:bookmarkStart w:id="10" w:name="_Toc15306268"/>
      <w:bookmarkStart w:id="11" w:name="_Toc15396476"/>
      <w:r>
        <w:rPr>
          <w:rFonts w:hint="eastAsia" w:ascii="方正小标宋简体" w:hAnsi="方正小标宋简体" w:eastAsia="方正小标宋简体" w:cs="方正小标宋简体"/>
          <w:color w:val="auto"/>
          <w:sz w:val="72"/>
          <w:szCs w:val="72"/>
          <w:highlight w:val="none"/>
          <w:lang w:eastAsia="zh-CN"/>
        </w:rPr>
        <w:t>四川省地质矿产勘查开发局一</w:t>
      </w:r>
      <w:r>
        <w:rPr>
          <w:rFonts w:hint="eastAsia" w:ascii="方正小标宋简体" w:hAnsi="方正小标宋简体" w:eastAsia="方正小标宋简体" w:cs="方正小标宋简体"/>
          <w:color w:val="auto"/>
          <w:sz w:val="72"/>
          <w:szCs w:val="72"/>
          <w:highlight w:val="none"/>
          <w:lang w:val="en-US" w:eastAsia="zh-CN"/>
        </w:rPr>
        <w:t>0八地质队</w:t>
      </w:r>
      <w:r>
        <w:rPr>
          <w:rFonts w:hint="eastAsia" w:ascii="方正小标宋简体" w:hAnsi="方正小标宋简体" w:eastAsia="方正小标宋简体" w:cs="方正小标宋简体"/>
          <w:color w:val="auto"/>
          <w:sz w:val="72"/>
          <w:szCs w:val="72"/>
          <w:highlight w:val="none"/>
          <w:lang w:eastAsia="zh-CN"/>
        </w:rPr>
        <w:t>单位</w:t>
      </w:r>
      <w:r>
        <w:rPr>
          <w:rFonts w:hint="eastAsia" w:ascii="方正小标宋简体" w:hAnsi="方正小标宋简体" w:eastAsia="方正小标宋简体" w:cs="方正小标宋简体"/>
          <w:color w:val="auto"/>
          <w:sz w:val="72"/>
          <w:szCs w:val="72"/>
          <w:highlight w:val="none"/>
        </w:rPr>
        <w:t>决算</w:t>
      </w:r>
      <w:bookmarkEnd w:id="6"/>
      <w:bookmarkEnd w:id="7"/>
      <w:bookmarkEnd w:id="8"/>
      <w:bookmarkEnd w:id="9"/>
      <w:bookmarkEnd w:id="10"/>
      <w:bookmarkEnd w:id="11"/>
    </w:p>
    <w:p>
      <w:pPr>
        <w:adjustRightInd w:val="0"/>
        <w:snapToGrid w:val="0"/>
        <w:spacing w:line="360" w:lineRule="auto"/>
        <w:jc w:val="center"/>
        <w:outlineLvl w:val="0"/>
        <w:rPr>
          <w:rFonts w:ascii="方正小标宋简体" w:hAnsi="宋体" w:eastAsia="方正小标宋简体"/>
          <w:color w:val="auto"/>
          <w:sz w:val="52"/>
          <w:szCs w:val="52"/>
          <w:highlight w:val="none"/>
        </w:rPr>
      </w:pPr>
    </w:p>
    <w:p>
      <w:pPr>
        <w:widowControl/>
        <w:jc w:val="center"/>
        <w:rPr>
          <w:rFonts w:ascii="黑体" w:hAnsi="黑体" w:eastAsia="黑体"/>
          <w:color w:val="auto"/>
          <w:sz w:val="48"/>
          <w:szCs w:val="48"/>
          <w:highlight w:val="none"/>
        </w:rPr>
      </w:pPr>
      <w:r>
        <w:rPr>
          <w:rFonts w:ascii="方正小标宋简体" w:hAnsi="宋体" w:eastAsia="方正小标宋简体"/>
          <w:color w:val="auto"/>
          <w:sz w:val="36"/>
          <w:szCs w:val="36"/>
          <w:highlight w:val="none"/>
        </w:rPr>
        <w:br w:type="page"/>
      </w:r>
      <w:r>
        <w:rPr>
          <w:rFonts w:hint="eastAsia" w:ascii="黑体" w:hAnsi="黑体" w:eastAsia="黑体"/>
          <w:color w:val="auto"/>
          <w:sz w:val="48"/>
          <w:szCs w:val="48"/>
          <w:highlight w:val="none"/>
        </w:rPr>
        <w:t>目录</w:t>
      </w:r>
    </w:p>
    <w:p>
      <w:pPr>
        <w:widowControl/>
        <w:jc w:val="center"/>
        <w:rPr>
          <w:rFonts w:ascii="黑体" w:hAnsi="黑体" w:eastAsia="黑体" w:cstheme="minorBidi"/>
          <w:color w:val="auto"/>
          <w:sz w:val="28"/>
          <w:szCs w:val="28"/>
          <w:highlight w:val="none"/>
        </w:rPr>
      </w:pPr>
    </w:p>
    <w:p>
      <w:pPr>
        <w:pStyle w:val="11"/>
        <w:rPr>
          <w:color w:val="auto"/>
          <w:highlight w:val="none"/>
        </w:rPr>
      </w:pPr>
      <w:r>
        <w:rPr>
          <w:rFonts w:hint="eastAsia"/>
          <w:color w:val="auto"/>
          <w:highlight w:val="none"/>
        </w:rPr>
        <w:t>公开时间：20</w:t>
      </w:r>
      <w:r>
        <w:rPr>
          <w:rFonts w:hint="eastAsia"/>
          <w:color w:val="auto"/>
          <w:highlight w:val="none"/>
          <w:lang w:val="en-US" w:eastAsia="zh-CN"/>
        </w:rPr>
        <w:t>22</w:t>
      </w:r>
      <w:r>
        <w:rPr>
          <w:rFonts w:hint="eastAsia"/>
          <w:color w:val="auto"/>
          <w:highlight w:val="none"/>
        </w:rPr>
        <w:t>年</w:t>
      </w:r>
      <w:r>
        <w:rPr>
          <w:rFonts w:hint="eastAsia"/>
          <w:color w:val="auto"/>
          <w:highlight w:val="none"/>
          <w:lang w:val="en-US" w:eastAsia="zh-CN"/>
        </w:rPr>
        <w:t>9</w:t>
      </w:r>
      <w:r>
        <w:rPr>
          <w:rFonts w:hint="eastAsia"/>
          <w:color w:val="auto"/>
          <w:highlight w:val="none"/>
        </w:rPr>
        <w:t>月</w:t>
      </w:r>
      <w:r>
        <w:rPr>
          <w:rFonts w:hint="eastAsia"/>
          <w:color w:val="auto"/>
          <w:highlight w:val="none"/>
          <w:lang w:val="en-US" w:eastAsia="zh-CN"/>
        </w:rPr>
        <w:t>9</w:t>
      </w:r>
      <w:r>
        <w:rPr>
          <w:rFonts w:hint="eastAsia"/>
          <w:color w:val="auto"/>
          <w:highlight w:val="none"/>
        </w:rPr>
        <w:t>日</w:t>
      </w:r>
    </w:p>
    <w:p>
      <w:pPr>
        <w:rPr>
          <w:color w:val="auto"/>
          <w:highlight w:val="none"/>
        </w:rPr>
      </w:pPr>
    </w:p>
    <w:p>
      <w:pPr>
        <w:pStyle w:val="11"/>
        <w:adjustRightInd w:val="0"/>
        <w:snapToGrid w:val="0"/>
        <w:spacing w:before="0" w:line="440" w:lineRule="exact"/>
        <w:jc w:val="left"/>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第一部分 单位概况</w:t>
      </w:r>
    </w:p>
    <w:p>
      <w:pPr>
        <w:keepNext w:val="0"/>
        <w:keepLines w:val="0"/>
        <w:widowControl/>
        <w:suppressLineNumbers w:val="0"/>
        <w:ind w:firstLine="480" w:firstLineChars="200"/>
        <w:jc w:val="left"/>
        <w:rPr>
          <w:rFonts w:hint="eastAsia" w:eastAsia="宋体"/>
          <w:color w:val="auto"/>
          <w:sz w:val="24"/>
          <w:highlight w:val="none"/>
          <w:lang w:eastAsia="zh-CN"/>
        </w:rPr>
      </w:pPr>
      <w:r>
        <w:rPr>
          <w:rFonts w:hint="eastAsia"/>
          <w:color w:val="auto"/>
          <w:sz w:val="24"/>
          <w:highlight w:val="none"/>
        </w:rPr>
        <w:t>一、职能</w:t>
      </w:r>
      <w:r>
        <w:rPr>
          <w:rFonts w:hint="eastAsia"/>
          <w:color w:val="auto"/>
          <w:sz w:val="24"/>
          <w:highlight w:val="none"/>
          <w:lang w:eastAsia="zh-CN"/>
        </w:rPr>
        <w:t>简介</w:t>
      </w:r>
      <w:r>
        <w:rPr>
          <w:rFonts w:ascii="仿宋_GB2312" w:hAnsi="仿宋_GB2312" w:eastAsia="仿宋_GB2312" w:cs="仿宋_GB2312"/>
          <w:b/>
          <w:bCs/>
          <w:color w:val="000000"/>
          <w:kern w:val="0"/>
          <w:sz w:val="31"/>
          <w:szCs w:val="31"/>
          <w:lang w:val="en-US" w:eastAsia="zh-CN" w:bidi="ar"/>
        </w:rPr>
        <w:t>........................................4</w:t>
      </w:r>
    </w:p>
    <w:p>
      <w:pPr>
        <w:keepNext w:val="0"/>
        <w:keepLines w:val="0"/>
        <w:widowControl/>
        <w:suppressLineNumbers w:val="0"/>
        <w:ind w:firstLine="480" w:firstLineChars="200"/>
        <w:jc w:val="left"/>
        <w:rPr>
          <w:rFonts w:ascii="仿宋_GB2312" w:hAnsi="仿宋_GB2312" w:eastAsia="仿宋_GB2312" w:cs="仿宋_GB2312"/>
          <w:b/>
          <w:bCs/>
          <w:color w:val="000000"/>
          <w:kern w:val="0"/>
          <w:sz w:val="31"/>
          <w:szCs w:val="31"/>
          <w:lang w:val="en-US" w:eastAsia="zh-CN" w:bidi="ar"/>
        </w:rPr>
      </w:pPr>
      <w:r>
        <w:rPr>
          <w:rFonts w:hint="eastAsia" w:asciiTheme="minorEastAsia" w:hAnsiTheme="minorEastAsia" w:eastAsiaTheme="minorEastAsia" w:cstheme="minorEastAsia"/>
          <w:color w:val="auto"/>
          <w:sz w:val="24"/>
          <w:highlight w:val="none"/>
          <w:lang w:eastAsia="zh-CN"/>
        </w:rPr>
        <w:t>二、</w:t>
      </w:r>
      <w:r>
        <w:rPr>
          <w:rFonts w:hint="eastAsia" w:asciiTheme="minorEastAsia" w:hAnsiTheme="minorEastAsia" w:eastAsiaTheme="minorEastAsia" w:cstheme="minorEastAsia"/>
          <w:color w:val="auto"/>
          <w:sz w:val="24"/>
          <w:highlight w:val="none"/>
          <w:lang w:val="en-US" w:eastAsia="zh-CN"/>
        </w:rPr>
        <w:t>2021年重点</w:t>
      </w:r>
      <w:r>
        <w:rPr>
          <w:rFonts w:hint="eastAsia" w:asciiTheme="minorEastAsia" w:hAnsiTheme="minorEastAsia" w:eastAsiaTheme="minorEastAsia" w:cstheme="minorEastAsia"/>
          <w:color w:val="auto"/>
          <w:sz w:val="24"/>
          <w:highlight w:val="none"/>
        </w:rPr>
        <w:t>工作</w:t>
      </w:r>
      <w:r>
        <w:rPr>
          <w:rFonts w:hint="eastAsia" w:asciiTheme="minorEastAsia" w:hAnsiTheme="minorEastAsia" w:eastAsiaTheme="minorEastAsia" w:cstheme="minorEastAsia"/>
          <w:color w:val="auto"/>
          <w:sz w:val="24"/>
          <w:highlight w:val="none"/>
          <w:lang w:eastAsia="zh-CN"/>
        </w:rPr>
        <w:t>完成情况</w:t>
      </w:r>
      <w:r>
        <w:rPr>
          <w:rFonts w:ascii="仿宋_GB2312" w:hAnsi="仿宋_GB2312" w:eastAsia="仿宋_GB2312" w:cs="仿宋_GB2312"/>
          <w:b/>
          <w:bCs/>
          <w:color w:val="000000"/>
          <w:kern w:val="0"/>
          <w:sz w:val="31"/>
          <w:szCs w:val="31"/>
          <w:lang w:val="en-US" w:eastAsia="zh-CN" w:bidi="ar"/>
        </w:rPr>
        <w:t>.............................4</w:t>
      </w:r>
    </w:p>
    <w:p>
      <w:pPr>
        <w:pStyle w:val="2"/>
        <w:ind w:left="0" w:leftChars="0" w:firstLine="480" w:firstLineChars="200"/>
        <w:rPr>
          <w:rFonts w:hint="default"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三、机构设置情况</w:t>
      </w:r>
      <w:r>
        <w:rPr>
          <w:rFonts w:ascii="仿宋_GB2312" w:hAnsi="仿宋_GB2312" w:eastAsia="仿宋_GB2312" w:cs="仿宋_GB2312"/>
          <w:b/>
          <w:bCs/>
          <w:color w:val="000000"/>
          <w:kern w:val="0"/>
          <w:sz w:val="31"/>
          <w:szCs w:val="31"/>
          <w:lang w:val="en-US" w:eastAsia="zh-CN" w:bidi="ar"/>
        </w:rPr>
        <w:t>.....................................</w:t>
      </w:r>
      <w:r>
        <w:rPr>
          <w:rFonts w:hint="eastAsia" w:ascii="仿宋_GB2312" w:hAnsi="仿宋_GB2312" w:eastAsia="仿宋_GB2312" w:cs="仿宋_GB2312"/>
          <w:b/>
          <w:bCs/>
          <w:color w:val="000000"/>
          <w:kern w:val="0"/>
          <w:sz w:val="31"/>
          <w:szCs w:val="31"/>
          <w:lang w:val="en-US" w:eastAsia="zh-CN" w:bidi="ar"/>
        </w:rPr>
        <w:t>4</w:t>
      </w:r>
    </w:p>
    <w:p>
      <w:pPr>
        <w:pStyle w:val="11"/>
        <w:adjustRightInd w:val="0"/>
        <w:snapToGrid w:val="0"/>
        <w:spacing w:before="0" w:line="440" w:lineRule="exact"/>
        <w:jc w:val="left"/>
        <w:rPr>
          <w:color w:val="auto"/>
          <w:sz w:val="24"/>
          <w:szCs w:val="24"/>
          <w:highlight w:val="none"/>
        </w:rPr>
      </w:pPr>
      <w:r>
        <w:rPr>
          <w:rFonts w:hint="eastAsia" w:ascii="Times New Roman" w:hAnsi="Times New Roman" w:eastAsia="宋体" w:cs="Times New Roman"/>
          <w:color w:val="auto"/>
          <w:kern w:val="2"/>
          <w:sz w:val="24"/>
          <w:szCs w:val="24"/>
          <w:highlight w:val="none"/>
          <w:lang w:val="en-US" w:eastAsia="zh-CN" w:bidi="ar-SA"/>
        </w:rPr>
        <w:t>第二部分 2021年度单位决算情况说明</w:t>
      </w:r>
      <w:r>
        <w:rPr>
          <w:rFonts w:ascii="仿宋_GB2312" w:hAnsi="仿宋_GB2312" w:eastAsia="仿宋_GB2312" w:cs="仿宋_GB2312"/>
          <w:b/>
          <w:bCs/>
          <w:color w:val="000000"/>
          <w:kern w:val="0"/>
          <w:sz w:val="31"/>
          <w:szCs w:val="31"/>
          <w:lang w:val="en-US" w:eastAsia="zh-CN" w:bidi="ar"/>
        </w:rPr>
        <w:t>..........................</w:t>
      </w:r>
      <w:r>
        <w:rPr>
          <w:rFonts w:hint="eastAsia" w:ascii="仿宋_GB2312" w:hAnsi="仿宋_GB2312" w:eastAsia="仿宋_GB2312" w:cs="仿宋_GB2312"/>
          <w:b/>
          <w:bCs/>
          <w:color w:val="000000"/>
          <w:kern w:val="0"/>
          <w:sz w:val="31"/>
          <w:szCs w:val="31"/>
          <w:lang w:val="en-US" w:eastAsia="zh-CN" w:bidi="ar"/>
        </w:rPr>
        <w:t>8</w:t>
      </w:r>
    </w:p>
    <w:p>
      <w:pPr>
        <w:pStyle w:val="12"/>
        <w:adjustRightInd w:val="0"/>
        <w:snapToGrid w:val="0"/>
        <w:spacing w:line="440" w:lineRule="exact"/>
        <w:jc w:val="left"/>
        <w:rPr>
          <w:rFonts w:ascii="仿宋" w:hAnsi="仿宋" w:eastAsia="仿宋" w:cstheme="minorBidi"/>
          <w:color w:val="auto"/>
          <w:sz w:val="24"/>
          <w:highlight w:val="none"/>
        </w:rPr>
      </w:pPr>
      <w:r>
        <w:rPr>
          <w:rFonts w:hint="eastAsia"/>
          <w:color w:val="auto"/>
          <w:sz w:val="24"/>
          <w:highlight w:val="none"/>
        </w:rPr>
        <w:t>一、收入支出决算总体情况说明</w:t>
      </w:r>
      <w:r>
        <w:rPr>
          <w:rFonts w:ascii="仿宋_GB2312" w:hAnsi="仿宋_GB2312" w:eastAsia="仿宋_GB2312" w:cs="仿宋_GB2312"/>
          <w:b/>
          <w:bCs/>
          <w:color w:val="000000"/>
          <w:kern w:val="0"/>
          <w:sz w:val="31"/>
          <w:szCs w:val="31"/>
          <w:lang w:val="en-US" w:eastAsia="zh-CN" w:bidi="ar"/>
        </w:rPr>
        <w:t>............................</w:t>
      </w:r>
      <w:r>
        <w:rPr>
          <w:rFonts w:hint="eastAsia" w:ascii="仿宋_GB2312" w:hAnsi="仿宋_GB2312" w:eastAsia="仿宋_GB2312" w:cs="仿宋_GB2312"/>
          <w:b/>
          <w:bCs/>
          <w:color w:val="000000"/>
          <w:kern w:val="0"/>
          <w:sz w:val="31"/>
          <w:szCs w:val="31"/>
          <w:lang w:val="en-US" w:eastAsia="zh-CN" w:bidi="ar"/>
        </w:rPr>
        <w:t>8</w:t>
      </w:r>
    </w:p>
    <w:p>
      <w:pPr>
        <w:pStyle w:val="12"/>
        <w:adjustRightInd w:val="0"/>
        <w:snapToGrid w:val="0"/>
        <w:spacing w:line="440" w:lineRule="exact"/>
        <w:jc w:val="left"/>
        <w:rPr>
          <w:rFonts w:ascii="仿宋" w:hAnsi="仿宋" w:eastAsia="仿宋" w:cstheme="minorBidi"/>
          <w:color w:val="auto"/>
          <w:sz w:val="24"/>
          <w:highlight w:val="none"/>
        </w:rPr>
      </w:pPr>
      <w:r>
        <w:rPr>
          <w:rFonts w:hint="eastAsia"/>
          <w:color w:val="auto"/>
          <w:sz w:val="24"/>
          <w:highlight w:val="none"/>
        </w:rPr>
        <w:t>二、收入决算情况说明</w:t>
      </w:r>
      <w:r>
        <w:rPr>
          <w:rFonts w:ascii="仿宋_GB2312" w:hAnsi="仿宋_GB2312" w:eastAsia="仿宋_GB2312" w:cs="仿宋_GB2312"/>
          <w:b/>
          <w:bCs/>
          <w:color w:val="000000"/>
          <w:kern w:val="0"/>
          <w:sz w:val="31"/>
          <w:szCs w:val="31"/>
          <w:lang w:val="en-US" w:eastAsia="zh-CN" w:bidi="ar"/>
        </w:rPr>
        <w:t>..................................</w:t>
      </w:r>
      <w:r>
        <w:rPr>
          <w:rFonts w:hint="eastAsia" w:ascii="仿宋_GB2312" w:hAnsi="仿宋_GB2312" w:eastAsia="仿宋_GB2312" w:cs="仿宋_GB2312"/>
          <w:b/>
          <w:bCs/>
          <w:color w:val="000000"/>
          <w:kern w:val="0"/>
          <w:sz w:val="31"/>
          <w:szCs w:val="31"/>
          <w:lang w:val="en-US" w:eastAsia="zh-CN" w:bidi="ar"/>
        </w:rPr>
        <w:t>8</w:t>
      </w:r>
    </w:p>
    <w:p>
      <w:pPr>
        <w:pStyle w:val="12"/>
        <w:adjustRightInd w:val="0"/>
        <w:snapToGrid w:val="0"/>
        <w:spacing w:line="440" w:lineRule="exact"/>
        <w:jc w:val="left"/>
        <w:rPr>
          <w:rFonts w:ascii="仿宋" w:hAnsi="仿宋" w:eastAsia="仿宋" w:cstheme="minorBidi"/>
          <w:color w:val="auto"/>
          <w:sz w:val="24"/>
          <w:highlight w:val="none"/>
        </w:rPr>
      </w:pPr>
      <w:r>
        <w:rPr>
          <w:rFonts w:hint="eastAsia"/>
          <w:color w:val="auto"/>
          <w:sz w:val="24"/>
          <w:highlight w:val="none"/>
        </w:rPr>
        <w:t>三、支出决算情况说明</w:t>
      </w:r>
      <w:r>
        <w:rPr>
          <w:rFonts w:ascii="仿宋_GB2312" w:hAnsi="仿宋_GB2312" w:eastAsia="仿宋_GB2312" w:cs="仿宋_GB2312"/>
          <w:b/>
          <w:bCs/>
          <w:color w:val="000000"/>
          <w:kern w:val="0"/>
          <w:sz w:val="31"/>
          <w:szCs w:val="31"/>
          <w:lang w:val="en-US" w:eastAsia="zh-CN" w:bidi="ar"/>
        </w:rPr>
        <w:t>..................................</w:t>
      </w:r>
      <w:r>
        <w:rPr>
          <w:rFonts w:hint="eastAsia" w:ascii="仿宋_GB2312" w:hAnsi="仿宋_GB2312" w:eastAsia="仿宋_GB2312" w:cs="仿宋_GB2312"/>
          <w:b/>
          <w:bCs/>
          <w:color w:val="000000"/>
          <w:kern w:val="0"/>
          <w:sz w:val="31"/>
          <w:szCs w:val="31"/>
          <w:lang w:val="en-US" w:eastAsia="zh-CN" w:bidi="ar"/>
        </w:rPr>
        <w:t>9</w:t>
      </w:r>
    </w:p>
    <w:p>
      <w:pPr>
        <w:pStyle w:val="12"/>
        <w:adjustRightInd w:val="0"/>
        <w:snapToGrid w:val="0"/>
        <w:spacing w:line="440" w:lineRule="exact"/>
        <w:jc w:val="left"/>
        <w:rPr>
          <w:rFonts w:ascii="仿宋" w:hAnsi="仿宋" w:eastAsia="仿宋" w:cstheme="minorBidi"/>
          <w:color w:val="auto"/>
          <w:sz w:val="24"/>
          <w:highlight w:val="none"/>
        </w:rPr>
      </w:pPr>
      <w:r>
        <w:rPr>
          <w:rFonts w:hint="eastAsia"/>
          <w:color w:val="auto"/>
          <w:sz w:val="24"/>
          <w:highlight w:val="none"/>
        </w:rPr>
        <w:t>四、财政拨款收入支出决算总体情况说明</w:t>
      </w:r>
      <w:r>
        <w:rPr>
          <w:rFonts w:ascii="仿宋_GB2312" w:hAnsi="仿宋_GB2312" w:eastAsia="仿宋_GB2312" w:cs="仿宋_GB2312"/>
          <w:b/>
          <w:bCs/>
          <w:color w:val="000000"/>
          <w:kern w:val="0"/>
          <w:sz w:val="31"/>
          <w:szCs w:val="31"/>
          <w:lang w:val="en-US" w:eastAsia="zh-CN" w:bidi="ar"/>
        </w:rPr>
        <w:t>......................</w:t>
      </w:r>
      <w:r>
        <w:rPr>
          <w:rFonts w:hint="eastAsia" w:ascii="仿宋_GB2312" w:hAnsi="仿宋_GB2312" w:eastAsia="仿宋_GB2312" w:cs="仿宋_GB2312"/>
          <w:b/>
          <w:bCs/>
          <w:color w:val="000000"/>
          <w:kern w:val="0"/>
          <w:sz w:val="31"/>
          <w:szCs w:val="31"/>
          <w:lang w:val="en-US" w:eastAsia="zh-CN" w:bidi="ar"/>
        </w:rPr>
        <w:t>9</w:t>
      </w:r>
    </w:p>
    <w:p>
      <w:pPr>
        <w:pStyle w:val="12"/>
        <w:adjustRightInd w:val="0"/>
        <w:snapToGrid w:val="0"/>
        <w:spacing w:line="440" w:lineRule="exact"/>
        <w:jc w:val="left"/>
        <w:rPr>
          <w:rFonts w:hint="default" w:ascii="仿宋" w:hAnsi="仿宋" w:eastAsia="仿宋" w:cstheme="minorBidi"/>
          <w:color w:val="auto"/>
          <w:sz w:val="24"/>
          <w:highlight w:val="none"/>
          <w:lang w:val="en-US"/>
        </w:rPr>
      </w:pPr>
      <w:r>
        <w:rPr>
          <w:rFonts w:hint="eastAsia"/>
          <w:color w:val="auto"/>
          <w:sz w:val="24"/>
          <w:highlight w:val="none"/>
        </w:rPr>
        <w:t>五、一般公共预算财政拨款支出决算情况说明</w:t>
      </w:r>
      <w:r>
        <w:rPr>
          <w:rFonts w:ascii="仿宋_GB2312" w:hAnsi="仿宋_GB2312" w:eastAsia="仿宋_GB2312" w:cs="仿宋_GB2312"/>
          <w:b/>
          <w:bCs/>
          <w:color w:val="000000"/>
          <w:kern w:val="0"/>
          <w:sz w:val="31"/>
          <w:szCs w:val="31"/>
          <w:lang w:val="en-US" w:eastAsia="zh-CN" w:bidi="ar"/>
        </w:rPr>
        <w:t>..................</w:t>
      </w:r>
      <w:r>
        <w:rPr>
          <w:rFonts w:hint="eastAsia" w:ascii="仿宋_GB2312" w:hAnsi="仿宋_GB2312" w:eastAsia="仿宋_GB2312" w:cs="仿宋_GB2312"/>
          <w:b/>
          <w:bCs/>
          <w:color w:val="000000"/>
          <w:kern w:val="0"/>
          <w:sz w:val="31"/>
          <w:szCs w:val="31"/>
          <w:lang w:val="en-US" w:eastAsia="zh-CN" w:bidi="ar"/>
        </w:rPr>
        <w:t>10</w:t>
      </w:r>
    </w:p>
    <w:p>
      <w:pPr>
        <w:pStyle w:val="12"/>
        <w:adjustRightInd w:val="0"/>
        <w:snapToGrid w:val="0"/>
        <w:spacing w:line="440" w:lineRule="exact"/>
        <w:jc w:val="left"/>
        <w:rPr>
          <w:rFonts w:hint="default" w:ascii="仿宋" w:hAnsi="仿宋" w:eastAsia="仿宋" w:cstheme="minorBidi"/>
          <w:color w:val="auto"/>
          <w:sz w:val="24"/>
          <w:highlight w:val="none"/>
          <w:lang w:val="en-US"/>
        </w:rPr>
      </w:pPr>
      <w:r>
        <w:rPr>
          <w:rFonts w:hint="eastAsia"/>
          <w:color w:val="auto"/>
          <w:sz w:val="24"/>
          <w:highlight w:val="none"/>
        </w:rPr>
        <w:t>六、一般公共预算财政拨款基本支出决算情况说明</w:t>
      </w:r>
      <w:r>
        <w:rPr>
          <w:rFonts w:ascii="仿宋_GB2312" w:hAnsi="仿宋_GB2312" w:eastAsia="仿宋_GB2312" w:cs="仿宋_GB2312"/>
          <w:b/>
          <w:bCs/>
          <w:color w:val="000000"/>
          <w:kern w:val="0"/>
          <w:sz w:val="31"/>
          <w:szCs w:val="31"/>
          <w:lang w:val="en-US" w:eastAsia="zh-CN" w:bidi="ar"/>
        </w:rPr>
        <w:t>...............</w:t>
      </w:r>
      <w:r>
        <w:rPr>
          <w:rFonts w:hint="eastAsia" w:ascii="仿宋_GB2312" w:hAnsi="仿宋_GB2312" w:eastAsia="仿宋_GB2312" w:cs="仿宋_GB2312"/>
          <w:b/>
          <w:bCs/>
          <w:color w:val="000000"/>
          <w:kern w:val="0"/>
          <w:sz w:val="31"/>
          <w:szCs w:val="31"/>
          <w:lang w:val="en-US" w:eastAsia="zh-CN" w:bidi="ar"/>
        </w:rPr>
        <w:t>12</w:t>
      </w:r>
      <w:r>
        <w:rPr>
          <w:rFonts w:hint="eastAsia"/>
          <w:color w:val="auto"/>
          <w:sz w:val="24"/>
          <w:highlight w:val="none"/>
        </w:rPr>
        <w:t>七、</w:t>
      </w:r>
      <w:r>
        <w:rPr>
          <w:rFonts w:hint="eastAsia"/>
          <w:color w:val="auto"/>
          <w:sz w:val="24"/>
          <w:highlight w:val="none"/>
          <w:lang w:eastAsia="zh-CN"/>
        </w:rPr>
        <w:t>“</w:t>
      </w:r>
      <w:r>
        <w:rPr>
          <w:rFonts w:hint="eastAsia"/>
          <w:color w:val="auto"/>
          <w:sz w:val="24"/>
          <w:highlight w:val="none"/>
        </w:rPr>
        <w:t>三公”经费财政拨款支出决算情况说明</w:t>
      </w:r>
      <w:r>
        <w:rPr>
          <w:rFonts w:ascii="仿宋_GB2312" w:hAnsi="仿宋_GB2312" w:eastAsia="仿宋_GB2312" w:cs="仿宋_GB2312"/>
          <w:b/>
          <w:bCs/>
          <w:color w:val="000000"/>
          <w:kern w:val="0"/>
          <w:sz w:val="31"/>
          <w:szCs w:val="31"/>
          <w:lang w:val="en-US" w:eastAsia="zh-CN" w:bidi="ar"/>
        </w:rPr>
        <w:t>...................</w:t>
      </w:r>
      <w:r>
        <w:rPr>
          <w:rFonts w:hint="eastAsia" w:ascii="仿宋_GB2312" w:hAnsi="仿宋_GB2312" w:eastAsia="仿宋_GB2312" w:cs="仿宋_GB2312"/>
          <w:b/>
          <w:bCs/>
          <w:color w:val="000000"/>
          <w:kern w:val="0"/>
          <w:sz w:val="31"/>
          <w:szCs w:val="31"/>
          <w:lang w:val="en-US" w:eastAsia="zh-CN" w:bidi="ar"/>
        </w:rPr>
        <w:t>13</w:t>
      </w:r>
    </w:p>
    <w:p>
      <w:pPr>
        <w:pStyle w:val="12"/>
        <w:adjustRightInd w:val="0"/>
        <w:snapToGrid w:val="0"/>
        <w:spacing w:line="440" w:lineRule="exact"/>
        <w:jc w:val="left"/>
        <w:rPr>
          <w:rFonts w:hint="default"/>
          <w:color w:val="auto"/>
          <w:sz w:val="24"/>
          <w:highlight w:val="none"/>
          <w:lang w:val="en-US" w:eastAsia="zh-CN"/>
        </w:rPr>
      </w:pPr>
      <w:r>
        <w:rPr>
          <w:rFonts w:hint="eastAsia"/>
          <w:color w:val="auto"/>
          <w:sz w:val="24"/>
          <w:highlight w:val="none"/>
        </w:rPr>
        <w:t>八、政府性基金预算支出决算情况说明</w:t>
      </w:r>
      <w:r>
        <w:rPr>
          <w:rFonts w:ascii="仿宋_GB2312" w:hAnsi="仿宋_GB2312" w:eastAsia="仿宋_GB2312" w:cs="仿宋_GB2312"/>
          <w:b/>
          <w:bCs/>
          <w:color w:val="000000"/>
          <w:kern w:val="0"/>
          <w:sz w:val="31"/>
          <w:szCs w:val="31"/>
          <w:lang w:val="en-US" w:eastAsia="zh-CN" w:bidi="ar"/>
        </w:rPr>
        <w:t>.......................</w:t>
      </w:r>
      <w:r>
        <w:rPr>
          <w:rFonts w:hint="eastAsia" w:ascii="仿宋_GB2312" w:hAnsi="仿宋_GB2312" w:eastAsia="仿宋_GB2312" w:cs="仿宋_GB2312"/>
          <w:b/>
          <w:bCs/>
          <w:color w:val="000000"/>
          <w:kern w:val="0"/>
          <w:sz w:val="31"/>
          <w:szCs w:val="31"/>
          <w:lang w:val="en-US" w:eastAsia="zh-CN" w:bidi="ar"/>
        </w:rPr>
        <w:t>13</w:t>
      </w:r>
      <w:r>
        <w:rPr>
          <w:rFonts w:hint="eastAsia"/>
          <w:color w:val="auto"/>
          <w:sz w:val="24"/>
          <w:highlight w:val="none"/>
        </w:rPr>
        <w:t>九、国有资本经营预算支出决算情况说明</w:t>
      </w:r>
      <w:r>
        <w:rPr>
          <w:rFonts w:ascii="仿宋_GB2312" w:hAnsi="仿宋_GB2312" w:eastAsia="仿宋_GB2312" w:cs="仿宋_GB2312"/>
          <w:b/>
          <w:bCs/>
          <w:color w:val="000000"/>
          <w:kern w:val="0"/>
          <w:sz w:val="31"/>
          <w:szCs w:val="31"/>
          <w:lang w:val="en-US" w:eastAsia="zh-CN" w:bidi="ar"/>
        </w:rPr>
        <w:t>.....................</w:t>
      </w:r>
      <w:r>
        <w:rPr>
          <w:rFonts w:hint="eastAsia" w:ascii="仿宋_GB2312" w:hAnsi="仿宋_GB2312" w:eastAsia="仿宋_GB2312" w:cs="仿宋_GB2312"/>
          <w:b/>
          <w:bCs/>
          <w:color w:val="000000"/>
          <w:kern w:val="0"/>
          <w:sz w:val="31"/>
          <w:szCs w:val="31"/>
          <w:lang w:val="en-US" w:eastAsia="zh-CN" w:bidi="ar"/>
        </w:rPr>
        <w:t>13</w:t>
      </w:r>
      <w:r>
        <w:rPr>
          <w:rFonts w:hint="eastAsia"/>
          <w:color w:val="auto"/>
          <w:sz w:val="24"/>
          <w:highlight w:val="none"/>
        </w:rPr>
        <w:t>十、其他重要事项的情况说明</w:t>
      </w:r>
      <w:r>
        <w:rPr>
          <w:rFonts w:ascii="仿宋_GB2312" w:hAnsi="仿宋_GB2312" w:eastAsia="仿宋_GB2312" w:cs="仿宋_GB2312"/>
          <w:b/>
          <w:bCs/>
          <w:color w:val="000000"/>
          <w:kern w:val="0"/>
          <w:sz w:val="31"/>
          <w:szCs w:val="31"/>
          <w:lang w:val="en-US" w:eastAsia="zh-CN" w:bidi="ar"/>
        </w:rPr>
        <w:t>.............................</w:t>
      </w:r>
      <w:r>
        <w:rPr>
          <w:rFonts w:hint="eastAsia" w:ascii="仿宋_GB2312" w:hAnsi="仿宋_GB2312" w:eastAsia="仿宋_GB2312" w:cs="仿宋_GB2312"/>
          <w:b/>
          <w:bCs/>
          <w:color w:val="000000"/>
          <w:kern w:val="0"/>
          <w:sz w:val="31"/>
          <w:szCs w:val="31"/>
          <w:lang w:val="en-US" w:eastAsia="zh-CN" w:bidi="ar"/>
        </w:rPr>
        <w:t>13</w:t>
      </w:r>
    </w:p>
    <w:p>
      <w:pPr>
        <w:keepNext w:val="0"/>
        <w:keepLines w:val="0"/>
        <w:widowControl/>
        <w:suppressLineNumbers w:val="0"/>
        <w:jc w:val="left"/>
        <w:rPr>
          <w:rFonts w:cstheme="minorBidi"/>
          <w:color w:val="auto"/>
          <w:sz w:val="24"/>
          <w:szCs w:val="24"/>
          <w:highlight w:val="none"/>
        </w:rPr>
      </w:pPr>
      <w:r>
        <w:rPr>
          <w:rFonts w:hint="eastAsia"/>
          <w:color w:val="auto"/>
          <w:sz w:val="24"/>
          <w:highlight w:val="none"/>
        </w:rPr>
        <w:t>第三部分</w:t>
      </w:r>
      <w:r>
        <w:rPr>
          <w:color w:val="auto"/>
          <w:sz w:val="24"/>
          <w:highlight w:val="none"/>
        </w:rPr>
        <w:t xml:space="preserve"> </w:t>
      </w:r>
      <w:r>
        <w:rPr>
          <w:rFonts w:hint="eastAsia"/>
          <w:color w:val="auto"/>
          <w:sz w:val="24"/>
          <w:highlight w:val="none"/>
        </w:rPr>
        <w:t>名词解释</w:t>
      </w:r>
      <w:r>
        <w:rPr>
          <w:rFonts w:ascii="仿宋_GB2312" w:hAnsi="仿宋_GB2312" w:eastAsia="仿宋_GB2312" w:cs="仿宋_GB2312"/>
          <w:b/>
          <w:bCs/>
          <w:color w:val="000000"/>
          <w:kern w:val="0"/>
          <w:sz w:val="31"/>
          <w:szCs w:val="31"/>
          <w:lang w:val="en-US" w:eastAsia="zh-CN" w:bidi="ar"/>
        </w:rPr>
        <w:t>......................................</w:t>
      </w:r>
      <w:r>
        <w:rPr>
          <w:rFonts w:hint="eastAsia" w:ascii="仿宋_GB2312" w:hAnsi="仿宋_GB2312" w:eastAsia="仿宋_GB2312" w:cs="仿宋_GB2312"/>
          <w:b/>
          <w:bCs/>
          <w:color w:val="000000"/>
          <w:kern w:val="0"/>
          <w:sz w:val="31"/>
          <w:szCs w:val="31"/>
          <w:lang w:val="en-US" w:eastAsia="zh-CN" w:bidi="ar"/>
        </w:rPr>
        <w:t>15</w:t>
      </w:r>
      <w:r>
        <w:rPr>
          <w:rFonts w:hint="eastAsia"/>
          <w:color w:val="auto"/>
          <w:sz w:val="24"/>
          <w:highlight w:val="none"/>
        </w:rPr>
        <w:t>第四部分</w:t>
      </w:r>
      <w:r>
        <w:rPr>
          <w:color w:val="auto"/>
          <w:sz w:val="24"/>
          <w:highlight w:val="none"/>
        </w:rPr>
        <w:t xml:space="preserve"> </w:t>
      </w:r>
      <w:r>
        <w:rPr>
          <w:rFonts w:hint="eastAsia"/>
          <w:color w:val="auto"/>
          <w:sz w:val="24"/>
          <w:highlight w:val="none"/>
        </w:rPr>
        <w:t>附件</w:t>
      </w:r>
      <w:r>
        <w:rPr>
          <w:rFonts w:ascii="仿宋_GB2312" w:hAnsi="仿宋_GB2312" w:eastAsia="仿宋_GB2312" w:cs="仿宋_GB2312"/>
          <w:b/>
          <w:bCs/>
          <w:color w:val="000000"/>
          <w:kern w:val="0"/>
          <w:sz w:val="31"/>
          <w:szCs w:val="31"/>
          <w:lang w:val="en-US" w:eastAsia="zh-CN" w:bidi="ar"/>
        </w:rPr>
        <w:t>.........................................</w:t>
      </w:r>
      <w:r>
        <w:rPr>
          <w:rFonts w:hint="eastAsia" w:ascii="仿宋_GB2312" w:hAnsi="仿宋_GB2312" w:eastAsia="仿宋_GB2312" w:cs="仿宋_GB2312"/>
          <w:b/>
          <w:bCs/>
          <w:color w:val="000000"/>
          <w:kern w:val="0"/>
          <w:sz w:val="31"/>
          <w:szCs w:val="31"/>
          <w:lang w:val="en-US" w:eastAsia="zh-CN" w:bidi="ar"/>
        </w:rPr>
        <w:t>18</w:t>
      </w:r>
    </w:p>
    <w:p>
      <w:pPr>
        <w:keepNext w:val="0"/>
        <w:keepLines w:val="0"/>
        <w:widowControl/>
        <w:suppressLineNumbers w:val="0"/>
        <w:jc w:val="left"/>
        <w:rPr>
          <w:rFonts w:hint="default" w:cstheme="minorBidi"/>
          <w:color w:val="auto"/>
          <w:sz w:val="24"/>
          <w:szCs w:val="24"/>
          <w:highlight w:val="none"/>
          <w:lang w:val="en-US"/>
        </w:rPr>
      </w:pPr>
      <w:r>
        <w:rPr>
          <w:rFonts w:hint="eastAsia"/>
          <w:color w:val="auto"/>
          <w:sz w:val="24"/>
          <w:highlight w:val="none"/>
        </w:rPr>
        <w:t>第五部分</w:t>
      </w:r>
      <w:r>
        <w:rPr>
          <w:color w:val="auto"/>
          <w:sz w:val="24"/>
          <w:highlight w:val="none"/>
        </w:rPr>
        <w:t xml:space="preserve"> </w:t>
      </w:r>
      <w:r>
        <w:rPr>
          <w:rFonts w:hint="eastAsia"/>
          <w:color w:val="auto"/>
          <w:sz w:val="24"/>
          <w:highlight w:val="none"/>
        </w:rPr>
        <w:t>附表</w:t>
      </w:r>
      <w:r>
        <w:rPr>
          <w:rFonts w:ascii="仿宋_GB2312" w:hAnsi="仿宋_GB2312" w:eastAsia="仿宋_GB2312" w:cs="仿宋_GB2312"/>
          <w:b/>
          <w:bCs/>
          <w:color w:val="000000"/>
          <w:kern w:val="0"/>
          <w:sz w:val="31"/>
          <w:szCs w:val="31"/>
          <w:lang w:val="en-US" w:eastAsia="zh-CN" w:bidi="ar"/>
        </w:rPr>
        <w:t>.........................................</w:t>
      </w:r>
      <w:r>
        <w:rPr>
          <w:rFonts w:hint="eastAsia" w:ascii="仿宋_GB2312" w:hAnsi="仿宋_GB2312" w:eastAsia="仿宋_GB2312" w:cs="仿宋_GB2312"/>
          <w:b/>
          <w:bCs/>
          <w:color w:val="000000"/>
          <w:kern w:val="0"/>
          <w:sz w:val="31"/>
          <w:szCs w:val="31"/>
          <w:lang w:val="en-US" w:eastAsia="zh-CN" w:bidi="ar"/>
        </w:rPr>
        <w:t>19</w:t>
      </w:r>
    </w:p>
    <w:p>
      <w:pPr>
        <w:pStyle w:val="12"/>
        <w:adjustRightInd w:val="0"/>
        <w:snapToGrid w:val="0"/>
        <w:spacing w:line="440" w:lineRule="exact"/>
        <w:jc w:val="left"/>
        <w:rPr>
          <w:rFonts w:hint="eastAsia"/>
          <w:color w:val="auto"/>
          <w:sz w:val="24"/>
          <w:highlight w:val="none"/>
        </w:rPr>
      </w:pPr>
      <w:r>
        <w:rPr>
          <w:rFonts w:hint="eastAsia"/>
          <w:color w:val="auto"/>
          <w:sz w:val="24"/>
          <w:highlight w:val="none"/>
        </w:rPr>
        <w:t>一</w:t>
      </w:r>
      <w:r>
        <w:rPr>
          <w:rFonts w:hint="eastAsia"/>
          <w:color w:val="auto"/>
          <w:sz w:val="24"/>
          <w:highlight w:val="none"/>
          <w:lang w:val="en-US" w:eastAsia="zh-CN"/>
        </w:rPr>
        <w:t>.</w:t>
      </w:r>
      <w:r>
        <w:rPr>
          <w:rFonts w:hint="eastAsia"/>
          <w:color w:val="auto"/>
          <w:sz w:val="24"/>
          <w:highlight w:val="none"/>
        </w:rPr>
        <w:t>收入支出决算总表</w:t>
      </w:r>
    </w:p>
    <w:p>
      <w:pPr>
        <w:pStyle w:val="12"/>
        <w:adjustRightInd w:val="0"/>
        <w:snapToGrid w:val="0"/>
        <w:spacing w:line="440" w:lineRule="exact"/>
        <w:jc w:val="left"/>
        <w:rPr>
          <w:rFonts w:hint="eastAsia"/>
          <w:color w:val="auto"/>
          <w:sz w:val="24"/>
          <w:highlight w:val="none"/>
        </w:rPr>
      </w:pPr>
      <w:r>
        <w:rPr>
          <w:rFonts w:hint="eastAsia"/>
          <w:color w:val="auto"/>
          <w:sz w:val="24"/>
          <w:highlight w:val="none"/>
        </w:rPr>
        <w:t>二</w:t>
      </w:r>
      <w:r>
        <w:rPr>
          <w:rFonts w:hint="eastAsia"/>
          <w:color w:val="auto"/>
          <w:sz w:val="24"/>
          <w:highlight w:val="none"/>
          <w:lang w:val="en-US" w:eastAsia="zh-CN"/>
        </w:rPr>
        <w:t>.</w:t>
      </w:r>
      <w:r>
        <w:rPr>
          <w:rFonts w:hint="eastAsia"/>
          <w:color w:val="auto"/>
          <w:sz w:val="24"/>
          <w:highlight w:val="none"/>
        </w:rPr>
        <w:t>收入决算表</w:t>
      </w:r>
    </w:p>
    <w:p>
      <w:pPr>
        <w:pStyle w:val="12"/>
        <w:adjustRightInd w:val="0"/>
        <w:snapToGrid w:val="0"/>
        <w:spacing w:line="440" w:lineRule="exact"/>
        <w:jc w:val="left"/>
        <w:rPr>
          <w:rFonts w:hint="eastAsia"/>
          <w:color w:val="auto"/>
          <w:sz w:val="24"/>
          <w:highlight w:val="none"/>
        </w:rPr>
      </w:pPr>
      <w:r>
        <w:rPr>
          <w:rFonts w:hint="eastAsia"/>
          <w:color w:val="auto"/>
          <w:sz w:val="24"/>
          <w:highlight w:val="none"/>
        </w:rPr>
        <w:t>三</w:t>
      </w:r>
      <w:r>
        <w:rPr>
          <w:rFonts w:hint="eastAsia"/>
          <w:color w:val="auto"/>
          <w:sz w:val="24"/>
          <w:highlight w:val="none"/>
          <w:lang w:val="en-US" w:eastAsia="zh-CN"/>
        </w:rPr>
        <w:t>.</w:t>
      </w:r>
      <w:r>
        <w:rPr>
          <w:rFonts w:hint="eastAsia"/>
          <w:color w:val="auto"/>
          <w:sz w:val="24"/>
          <w:highlight w:val="none"/>
        </w:rPr>
        <w:t>支出决算表</w:t>
      </w:r>
    </w:p>
    <w:p>
      <w:pPr>
        <w:pStyle w:val="12"/>
        <w:adjustRightInd w:val="0"/>
        <w:snapToGrid w:val="0"/>
        <w:spacing w:line="440" w:lineRule="exact"/>
        <w:jc w:val="left"/>
        <w:rPr>
          <w:rFonts w:hint="eastAsia"/>
          <w:color w:val="auto"/>
          <w:sz w:val="24"/>
          <w:highlight w:val="none"/>
        </w:rPr>
      </w:pPr>
      <w:r>
        <w:rPr>
          <w:rFonts w:hint="eastAsia"/>
          <w:color w:val="auto"/>
          <w:sz w:val="24"/>
          <w:highlight w:val="none"/>
        </w:rPr>
        <w:t>四</w:t>
      </w:r>
      <w:r>
        <w:rPr>
          <w:rFonts w:hint="eastAsia"/>
          <w:color w:val="auto"/>
          <w:sz w:val="24"/>
          <w:highlight w:val="none"/>
          <w:lang w:val="en-US" w:eastAsia="zh-CN"/>
        </w:rPr>
        <w:t>.</w:t>
      </w:r>
      <w:r>
        <w:rPr>
          <w:rFonts w:hint="eastAsia"/>
          <w:color w:val="auto"/>
          <w:sz w:val="24"/>
          <w:highlight w:val="none"/>
        </w:rPr>
        <w:t>财政拨款收入支出决算总表</w:t>
      </w:r>
    </w:p>
    <w:p>
      <w:pPr>
        <w:pStyle w:val="12"/>
        <w:adjustRightInd w:val="0"/>
        <w:snapToGrid w:val="0"/>
        <w:spacing w:line="440" w:lineRule="exact"/>
        <w:jc w:val="left"/>
        <w:rPr>
          <w:rFonts w:hint="eastAsia"/>
          <w:color w:val="auto"/>
          <w:sz w:val="24"/>
          <w:highlight w:val="none"/>
        </w:rPr>
      </w:pPr>
      <w:r>
        <w:rPr>
          <w:rFonts w:hint="eastAsia"/>
          <w:color w:val="auto"/>
          <w:sz w:val="24"/>
          <w:highlight w:val="none"/>
        </w:rPr>
        <w:t>五</w:t>
      </w:r>
      <w:r>
        <w:rPr>
          <w:rFonts w:hint="eastAsia"/>
          <w:color w:val="auto"/>
          <w:sz w:val="24"/>
          <w:highlight w:val="none"/>
          <w:lang w:val="en-US" w:eastAsia="zh-CN"/>
        </w:rPr>
        <w:t>.</w:t>
      </w:r>
      <w:r>
        <w:rPr>
          <w:rFonts w:hint="eastAsia"/>
          <w:color w:val="auto"/>
          <w:sz w:val="24"/>
          <w:highlight w:val="none"/>
        </w:rPr>
        <w:t>财政拨款支出决算明细表</w:t>
      </w:r>
    </w:p>
    <w:p>
      <w:pPr>
        <w:pStyle w:val="12"/>
        <w:adjustRightInd w:val="0"/>
        <w:snapToGrid w:val="0"/>
        <w:spacing w:line="440" w:lineRule="exact"/>
        <w:jc w:val="left"/>
        <w:rPr>
          <w:rFonts w:hint="eastAsia"/>
          <w:color w:val="auto"/>
          <w:sz w:val="24"/>
          <w:highlight w:val="none"/>
        </w:rPr>
      </w:pPr>
      <w:r>
        <w:rPr>
          <w:rFonts w:hint="eastAsia"/>
          <w:color w:val="auto"/>
          <w:sz w:val="24"/>
          <w:highlight w:val="none"/>
        </w:rPr>
        <w:t>六</w:t>
      </w:r>
      <w:r>
        <w:rPr>
          <w:rFonts w:hint="eastAsia"/>
          <w:color w:val="auto"/>
          <w:sz w:val="24"/>
          <w:highlight w:val="none"/>
          <w:lang w:val="en-US" w:eastAsia="zh-CN"/>
        </w:rPr>
        <w:t>.</w:t>
      </w:r>
      <w:r>
        <w:rPr>
          <w:rFonts w:hint="eastAsia"/>
          <w:color w:val="auto"/>
          <w:sz w:val="24"/>
          <w:highlight w:val="none"/>
        </w:rPr>
        <w:t>一般公共预算财政拨款支出决算表</w:t>
      </w:r>
    </w:p>
    <w:p>
      <w:pPr>
        <w:pStyle w:val="12"/>
        <w:adjustRightInd w:val="0"/>
        <w:snapToGrid w:val="0"/>
        <w:spacing w:line="440" w:lineRule="exact"/>
        <w:jc w:val="left"/>
        <w:rPr>
          <w:rFonts w:hint="eastAsia"/>
          <w:color w:val="auto"/>
          <w:sz w:val="24"/>
          <w:highlight w:val="none"/>
        </w:rPr>
      </w:pPr>
      <w:r>
        <w:rPr>
          <w:rFonts w:hint="eastAsia"/>
          <w:color w:val="auto"/>
          <w:sz w:val="24"/>
          <w:highlight w:val="none"/>
        </w:rPr>
        <w:t>七</w:t>
      </w:r>
      <w:r>
        <w:rPr>
          <w:rFonts w:hint="eastAsia"/>
          <w:color w:val="auto"/>
          <w:sz w:val="24"/>
          <w:highlight w:val="none"/>
          <w:lang w:val="en-US" w:eastAsia="zh-CN"/>
        </w:rPr>
        <w:t>.</w:t>
      </w:r>
      <w:r>
        <w:rPr>
          <w:rFonts w:hint="eastAsia"/>
          <w:color w:val="auto"/>
          <w:sz w:val="24"/>
          <w:highlight w:val="none"/>
        </w:rPr>
        <w:t>一般公共预算财政拨款支出决算明细表</w:t>
      </w:r>
    </w:p>
    <w:p>
      <w:pPr>
        <w:pStyle w:val="12"/>
        <w:adjustRightInd w:val="0"/>
        <w:snapToGrid w:val="0"/>
        <w:spacing w:line="440" w:lineRule="exact"/>
        <w:jc w:val="left"/>
        <w:rPr>
          <w:rFonts w:hint="eastAsia"/>
          <w:color w:val="auto"/>
          <w:sz w:val="24"/>
          <w:highlight w:val="none"/>
        </w:rPr>
      </w:pPr>
      <w:r>
        <w:rPr>
          <w:rFonts w:hint="eastAsia"/>
          <w:color w:val="auto"/>
          <w:sz w:val="24"/>
          <w:highlight w:val="none"/>
        </w:rPr>
        <w:t>八</w:t>
      </w:r>
      <w:r>
        <w:rPr>
          <w:rFonts w:hint="eastAsia"/>
          <w:color w:val="auto"/>
          <w:sz w:val="24"/>
          <w:highlight w:val="none"/>
          <w:lang w:val="en-US" w:eastAsia="zh-CN"/>
        </w:rPr>
        <w:t>.</w:t>
      </w:r>
      <w:r>
        <w:rPr>
          <w:rFonts w:hint="eastAsia"/>
          <w:color w:val="auto"/>
          <w:sz w:val="24"/>
          <w:highlight w:val="none"/>
        </w:rPr>
        <w:t>一般公共预算财政拨款基本支出决算表</w:t>
      </w:r>
    </w:p>
    <w:p>
      <w:pPr>
        <w:pStyle w:val="12"/>
        <w:adjustRightInd w:val="0"/>
        <w:snapToGrid w:val="0"/>
        <w:spacing w:line="440" w:lineRule="exact"/>
        <w:jc w:val="left"/>
        <w:rPr>
          <w:rFonts w:hint="eastAsia"/>
          <w:color w:val="auto"/>
          <w:sz w:val="24"/>
          <w:highlight w:val="none"/>
        </w:rPr>
      </w:pPr>
      <w:r>
        <w:rPr>
          <w:rFonts w:hint="eastAsia"/>
          <w:color w:val="auto"/>
          <w:sz w:val="24"/>
          <w:highlight w:val="none"/>
        </w:rPr>
        <w:t>九</w:t>
      </w:r>
      <w:r>
        <w:rPr>
          <w:rFonts w:hint="eastAsia"/>
          <w:color w:val="auto"/>
          <w:sz w:val="24"/>
          <w:highlight w:val="none"/>
          <w:lang w:val="en-US" w:eastAsia="zh-CN"/>
        </w:rPr>
        <w:t>.</w:t>
      </w:r>
      <w:r>
        <w:rPr>
          <w:rFonts w:hint="eastAsia"/>
          <w:color w:val="auto"/>
          <w:sz w:val="24"/>
          <w:highlight w:val="none"/>
        </w:rPr>
        <w:t>一般公共预算财政拨款项目支出决算表</w:t>
      </w:r>
    </w:p>
    <w:p>
      <w:pPr>
        <w:pStyle w:val="12"/>
        <w:adjustRightInd w:val="0"/>
        <w:snapToGrid w:val="0"/>
        <w:spacing w:line="440" w:lineRule="exact"/>
        <w:jc w:val="left"/>
        <w:rPr>
          <w:rFonts w:hint="eastAsia"/>
          <w:color w:val="auto"/>
          <w:sz w:val="24"/>
          <w:highlight w:val="none"/>
        </w:rPr>
      </w:pPr>
      <w:r>
        <w:rPr>
          <w:rFonts w:hint="eastAsia"/>
          <w:color w:val="auto"/>
          <w:sz w:val="24"/>
          <w:highlight w:val="none"/>
        </w:rPr>
        <w:t>十</w:t>
      </w:r>
      <w:r>
        <w:rPr>
          <w:rFonts w:hint="eastAsia"/>
          <w:color w:val="auto"/>
          <w:sz w:val="24"/>
          <w:highlight w:val="none"/>
          <w:lang w:val="en-US" w:eastAsia="zh-CN"/>
        </w:rPr>
        <w:t>.</w:t>
      </w:r>
      <w:r>
        <w:rPr>
          <w:rFonts w:hint="eastAsia"/>
          <w:color w:val="auto"/>
          <w:sz w:val="24"/>
          <w:highlight w:val="none"/>
        </w:rPr>
        <w:t>一般公共预算财政拨款“三公”经费支出决算表</w:t>
      </w:r>
    </w:p>
    <w:p>
      <w:pPr>
        <w:pStyle w:val="12"/>
        <w:adjustRightInd w:val="0"/>
        <w:snapToGrid w:val="0"/>
        <w:spacing w:line="440" w:lineRule="exact"/>
        <w:jc w:val="left"/>
        <w:rPr>
          <w:rFonts w:hint="eastAsia"/>
          <w:color w:val="auto"/>
          <w:sz w:val="24"/>
          <w:highlight w:val="none"/>
        </w:rPr>
      </w:pPr>
      <w:r>
        <w:rPr>
          <w:rFonts w:hint="eastAsia"/>
          <w:color w:val="auto"/>
          <w:sz w:val="24"/>
          <w:highlight w:val="none"/>
        </w:rPr>
        <w:t>十一</w:t>
      </w:r>
      <w:r>
        <w:rPr>
          <w:rFonts w:hint="eastAsia"/>
          <w:color w:val="auto"/>
          <w:sz w:val="24"/>
          <w:highlight w:val="none"/>
          <w:lang w:val="en-US" w:eastAsia="zh-CN"/>
        </w:rPr>
        <w:t>.</w:t>
      </w:r>
      <w:r>
        <w:rPr>
          <w:rFonts w:hint="eastAsia"/>
          <w:color w:val="auto"/>
          <w:sz w:val="24"/>
          <w:highlight w:val="none"/>
        </w:rPr>
        <w:t>政府性基金预算财政拨款收入支出决算表</w:t>
      </w:r>
    </w:p>
    <w:p>
      <w:pPr>
        <w:pStyle w:val="12"/>
        <w:adjustRightInd w:val="0"/>
        <w:snapToGrid w:val="0"/>
        <w:spacing w:line="440" w:lineRule="exact"/>
        <w:jc w:val="left"/>
        <w:rPr>
          <w:rFonts w:hint="eastAsia"/>
          <w:color w:val="auto"/>
          <w:sz w:val="24"/>
          <w:highlight w:val="none"/>
        </w:rPr>
      </w:pPr>
      <w:r>
        <w:rPr>
          <w:rFonts w:hint="eastAsia"/>
          <w:color w:val="auto"/>
          <w:sz w:val="24"/>
          <w:highlight w:val="none"/>
        </w:rPr>
        <w:t>十二</w:t>
      </w:r>
      <w:r>
        <w:rPr>
          <w:rFonts w:hint="eastAsia"/>
          <w:color w:val="auto"/>
          <w:sz w:val="24"/>
          <w:highlight w:val="none"/>
          <w:lang w:val="en-US" w:eastAsia="zh-CN"/>
        </w:rPr>
        <w:t>.</w:t>
      </w:r>
      <w:r>
        <w:rPr>
          <w:rFonts w:hint="eastAsia"/>
          <w:color w:val="auto"/>
          <w:sz w:val="24"/>
          <w:highlight w:val="none"/>
        </w:rPr>
        <w:t>政府性基金预算财政拨款“三公”经费支出决算表</w:t>
      </w:r>
    </w:p>
    <w:p>
      <w:pPr>
        <w:pStyle w:val="12"/>
        <w:adjustRightInd w:val="0"/>
        <w:snapToGrid w:val="0"/>
        <w:spacing w:line="440" w:lineRule="exact"/>
        <w:jc w:val="left"/>
        <w:rPr>
          <w:rFonts w:hint="eastAsia"/>
          <w:color w:val="auto"/>
          <w:sz w:val="24"/>
          <w:highlight w:val="none"/>
        </w:rPr>
      </w:pPr>
      <w:r>
        <w:rPr>
          <w:rFonts w:hint="eastAsia"/>
          <w:color w:val="auto"/>
          <w:sz w:val="24"/>
          <w:highlight w:val="none"/>
        </w:rPr>
        <w:t>十三</w:t>
      </w:r>
      <w:r>
        <w:rPr>
          <w:rFonts w:hint="eastAsia"/>
          <w:color w:val="auto"/>
          <w:sz w:val="24"/>
          <w:highlight w:val="none"/>
          <w:lang w:val="en-US" w:eastAsia="zh-CN"/>
        </w:rPr>
        <w:t>.</w:t>
      </w:r>
      <w:r>
        <w:rPr>
          <w:rFonts w:hint="eastAsia"/>
          <w:color w:val="auto"/>
          <w:sz w:val="24"/>
          <w:highlight w:val="none"/>
        </w:rPr>
        <w:t>国有资本经营预算</w:t>
      </w:r>
      <w:r>
        <w:rPr>
          <w:rFonts w:hint="eastAsia"/>
          <w:color w:val="auto"/>
          <w:sz w:val="24"/>
          <w:highlight w:val="none"/>
          <w:lang w:eastAsia="zh-CN"/>
        </w:rPr>
        <w:t>财政拨款收入</w:t>
      </w:r>
      <w:r>
        <w:rPr>
          <w:rFonts w:hint="eastAsia"/>
          <w:color w:val="auto"/>
          <w:sz w:val="24"/>
          <w:highlight w:val="none"/>
        </w:rPr>
        <w:t>支出决算表</w:t>
      </w:r>
    </w:p>
    <w:p>
      <w:pPr>
        <w:pStyle w:val="12"/>
        <w:adjustRightInd w:val="0"/>
        <w:snapToGrid w:val="0"/>
        <w:spacing w:line="440" w:lineRule="exact"/>
        <w:jc w:val="left"/>
        <w:rPr>
          <w:rFonts w:hint="default"/>
          <w:color w:val="auto"/>
          <w:sz w:val="24"/>
          <w:highlight w:val="none"/>
          <w:lang w:val="en-US" w:eastAsia="zh-CN"/>
        </w:rPr>
      </w:pPr>
      <w:r>
        <w:rPr>
          <w:rFonts w:hint="eastAsia"/>
          <w:color w:val="auto"/>
          <w:sz w:val="24"/>
          <w:highlight w:val="none"/>
          <w:lang w:val="en-US" w:eastAsia="zh-CN"/>
        </w:rPr>
        <w:t>十四.国有资本经营预算财政拨款支出决算表</w:t>
      </w:r>
    </w:p>
    <w:p>
      <w:pPr>
        <w:widowControl/>
        <w:spacing w:line="440" w:lineRule="exact"/>
        <w:jc w:val="left"/>
        <w:rPr>
          <w:rFonts w:ascii="仿宋" w:hAnsi="仿宋" w:eastAsia="仿宋"/>
          <w:bCs/>
          <w:color w:val="auto"/>
          <w:kern w:val="44"/>
          <w:sz w:val="24"/>
          <w:highlight w:val="none"/>
        </w:rPr>
      </w:pPr>
      <w:bookmarkStart w:id="12" w:name="_Toc15396599"/>
      <w:bookmarkStart w:id="13" w:name="_Toc15377196"/>
    </w:p>
    <w:p>
      <w:pPr>
        <w:pStyle w:val="2"/>
        <w:rPr>
          <w:rFonts w:ascii="仿宋" w:hAnsi="仿宋" w:eastAsia="仿宋"/>
          <w:bCs/>
          <w:color w:val="auto"/>
          <w:kern w:val="44"/>
          <w:sz w:val="24"/>
          <w:highlight w:val="none"/>
        </w:rPr>
      </w:pPr>
    </w:p>
    <w:p>
      <w:pPr>
        <w:pStyle w:val="2"/>
        <w:rPr>
          <w:rFonts w:ascii="仿宋" w:hAnsi="仿宋" w:eastAsia="仿宋"/>
          <w:bCs/>
          <w:color w:val="auto"/>
          <w:kern w:val="44"/>
          <w:sz w:val="24"/>
          <w:highlight w:val="none"/>
        </w:rPr>
      </w:pPr>
    </w:p>
    <w:p>
      <w:pPr>
        <w:pStyle w:val="2"/>
        <w:rPr>
          <w:rFonts w:ascii="仿宋" w:hAnsi="仿宋" w:eastAsia="仿宋"/>
          <w:bCs/>
          <w:color w:val="auto"/>
          <w:kern w:val="44"/>
          <w:sz w:val="24"/>
          <w:highlight w:val="none"/>
        </w:rPr>
      </w:pPr>
    </w:p>
    <w:p>
      <w:pPr>
        <w:pStyle w:val="2"/>
        <w:rPr>
          <w:rFonts w:ascii="仿宋" w:hAnsi="仿宋" w:eastAsia="仿宋"/>
          <w:bCs/>
          <w:color w:val="auto"/>
          <w:kern w:val="44"/>
          <w:sz w:val="24"/>
          <w:highlight w:val="none"/>
        </w:rPr>
      </w:pPr>
    </w:p>
    <w:p>
      <w:pPr>
        <w:pStyle w:val="2"/>
        <w:rPr>
          <w:rFonts w:ascii="仿宋" w:hAnsi="仿宋" w:eastAsia="仿宋"/>
          <w:bCs/>
          <w:color w:val="auto"/>
          <w:kern w:val="44"/>
          <w:sz w:val="24"/>
          <w:highlight w:val="none"/>
        </w:rPr>
      </w:pPr>
    </w:p>
    <w:p>
      <w:pPr>
        <w:pStyle w:val="2"/>
        <w:rPr>
          <w:rFonts w:ascii="仿宋" w:hAnsi="仿宋" w:eastAsia="仿宋"/>
          <w:bCs/>
          <w:color w:val="auto"/>
          <w:kern w:val="44"/>
          <w:sz w:val="24"/>
          <w:highlight w:val="none"/>
        </w:rPr>
      </w:pPr>
    </w:p>
    <w:p>
      <w:pPr>
        <w:pStyle w:val="2"/>
        <w:rPr>
          <w:rFonts w:ascii="仿宋" w:hAnsi="仿宋" w:eastAsia="仿宋"/>
          <w:bCs/>
          <w:color w:val="auto"/>
          <w:kern w:val="44"/>
          <w:sz w:val="24"/>
          <w:highlight w:val="none"/>
        </w:rPr>
      </w:pPr>
    </w:p>
    <w:p>
      <w:pPr>
        <w:pStyle w:val="2"/>
        <w:rPr>
          <w:rFonts w:ascii="仿宋" w:hAnsi="仿宋" w:eastAsia="仿宋"/>
          <w:bCs/>
          <w:color w:val="auto"/>
          <w:kern w:val="44"/>
          <w:sz w:val="24"/>
          <w:highlight w:val="none"/>
        </w:rPr>
      </w:pPr>
    </w:p>
    <w:p>
      <w:pPr>
        <w:pStyle w:val="2"/>
        <w:rPr>
          <w:rFonts w:ascii="仿宋" w:hAnsi="仿宋" w:eastAsia="仿宋"/>
          <w:bCs/>
          <w:color w:val="auto"/>
          <w:kern w:val="44"/>
          <w:sz w:val="24"/>
          <w:highlight w:val="none"/>
        </w:rPr>
      </w:pPr>
    </w:p>
    <w:p>
      <w:pPr>
        <w:pStyle w:val="2"/>
        <w:rPr>
          <w:rFonts w:ascii="仿宋" w:hAnsi="仿宋" w:eastAsia="仿宋"/>
          <w:bCs/>
          <w:color w:val="auto"/>
          <w:kern w:val="44"/>
          <w:sz w:val="24"/>
          <w:highlight w:val="none"/>
        </w:rPr>
      </w:pPr>
    </w:p>
    <w:p>
      <w:pPr>
        <w:pStyle w:val="2"/>
        <w:rPr>
          <w:rFonts w:ascii="仿宋" w:hAnsi="仿宋" w:eastAsia="仿宋"/>
          <w:bCs/>
          <w:color w:val="auto"/>
          <w:kern w:val="44"/>
          <w:sz w:val="24"/>
          <w:highlight w:val="none"/>
        </w:rPr>
      </w:pPr>
    </w:p>
    <w:p>
      <w:pPr>
        <w:pStyle w:val="2"/>
        <w:rPr>
          <w:rFonts w:ascii="仿宋" w:hAnsi="仿宋" w:eastAsia="仿宋"/>
          <w:bCs/>
          <w:color w:val="auto"/>
          <w:kern w:val="44"/>
          <w:sz w:val="24"/>
          <w:highlight w:val="none"/>
        </w:rPr>
      </w:pPr>
    </w:p>
    <w:p>
      <w:pPr>
        <w:pStyle w:val="2"/>
        <w:rPr>
          <w:rFonts w:ascii="仿宋" w:hAnsi="仿宋" w:eastAsia="仿宋"/>
          <w:bCs/>
          <w:color w:val="auto"/>
          <w:kern w:val="44"/>
          <w:sz w:val="24"/>
          <w:highlight w:val="none"/>
        </w:rPr>
      </w:pPr>
    </w:p>
    <w:p>
      <w:pPr>
        <w:pStyle w:val="2"/>
        <w:rPr>
          <w:rFonts w:ascii="仿宋" w:hAnsi="仿宋" w:eastAsia="仿宋"/>
          <w:bCs/>
          <w:color w:val="auto"/>
          <w:kern w:val="44"/>
          <w:sz w:val="24"/>
          <w:highlight w:val="none"/>
        </w:rPr>
      </w:pPr>
    </w:p>
    <w:p>
      <w:pPr>
        <w:pStyle w:val="2"/>
        <w:rPr>
          <w:rFonts w:ascii="仿宋" w:hAnsi="仿宋" w:eastAsia="仿宋"/>
          <w:bCs/>
          <w:color w:val="auto"/>
          <w:kern w:val="44"/>
          <w:sz w:val="24"/>
          <w:highlight w:val="none"/>
        </w:rPr>
      </w:pPr>
    </w:p>
    <w:p>
      <w:pPr>
        <w:pStyle w:val="2"/>
        <w:rPr>
          <w:rFonts w:ascii="仿宋" w:hAnsi="仿宋" w:eastAsia="仿宋"/>
          <w:bCs/>
          <w:color w:val="auto"/>
          <w:kern w:val="44"/>
          <w:sz w:val="24"/>
          <w:highlight w:val="none"/>
        </w:rPr>
      </w:pPr>
    </w:p>
    <w:p>
      <w:pPr>
        <w:pStyle w:val="2"/>
        <w:rPr>
          <w:rFonts w:ascii="仿宋" w:hAnsi="仿宋" w:eastAsia="仿宋"/>
          <w:bCs/>
          <w:color w:val="auto"/>
          <w:kern w:val="44"/>
          <w:sz w:val="24"/>
          <w:highlight w:val="none"/>
        </w:rPr>
      </w:pPr>
    </w:p>
    <w:p>
      <w:pPr>
        <w:pStyle w:val="3"/>
        <w:jc w:val="center"/>
        <w:rPr>
          <w:rStyle w:val="25"/>
          <w:rFonts w:ascii="黑体" w:hAnsi="黑体" w:eastAsia="黑体"/>
          <w:b/>
          <w:bCs w:val="0"/>
          <w:color w:val="auto"/>
          <w:highlight w:val="none"/>
        </w:rPr>
      </w:pPr>
      <w:r>
        <w:rPr>
          <w:rFonts w:hint="eastAsia" w:ascii="黑体" w:hAnsi="黑体" w:eastAsia="黑体"/>
          <w:b w:val="0"/>
          <w:color w:val="auto"/>
          <w:highlight w:val="none"/>
        </w:rPr>
        <w:t xml:space="preserve">第一部分 </w:t>
      </w:r>
      <w:r>
        <w:rPr>
          <w:rFonts w:hint="eastAsia" w:ascii="黑体" w:hAnsi="黑体" w:eastAsia="黑体"/>
          <w:b w:val="0"/>
          <w:color w:val="auto"/>
          <w:highlight w:val="none"/>
          <w:lang w:eastAsia="zh-CN"/>
        </w:rPr>
        <w:t>单位</w:t>
      </w:r>
      <w:r>
        <w:rPr>
          <w:rStyle w:val="25"/>
          <w:rFonts w:hint="eastAsia" w:ascii="黑体" w:hAnsi="黑体" w:eastAsia="黑体"/>
          <w:b w:val="0"/>
          <w:bCs w:val="0"/>
          <w:color w:val="auto"/>
          <w:highlight w:val="none"/>
        </w:rPr>
        <w:t>概况</w:t>
      </w:r>
      <w:bookmarkEnd w:id="12"/>
      <w:bookmarkEnd w:id="13"/>
    </w:p>
    <w:p>
      <w:pPr>
        <w:widowControl/>
        <w:jc w:val="left"/>
        <w:rPr>
          <w:rFonts w:ascii="黑体" w:eastAsia="黑体"/>
          <w:color w:val="auto"/>
          <w:sz w:val="32"/>
          <w:szCs w:val="32"/>
          <w:highlight w:val="none"/>
        </w:rPr>
      </w:pPr>
    </w:p>
    <w:p>
      <w:pPr>
        <w:pStyle w:val="4"/>
        <w:numPr>
          <w:ilvl w:val="0"/>
          <w:numId w:val="0"/>
        </w:numPr>
        <w:ind w:firstLine="320" w:firstLineChars="100"/>
        <w:rPr>
          <w:rStyle w:val="26"/>
          <w:rFonts w:hint="eastAsia" w:ascii="黑体" w:hAnsi="黑体" w:eastAsia="黑体"/>
          <w:b w:val="0"/>
          <w:bCs w:val="0"/>
          <w:color w:val="auto"/>
          <w:highlight w:val="none"/>
          <w:lang w:eastAsia="zh-CN"/>
        </w:rPr>
      </w:pPr>
      <w:bookmarkStart w:id="14" w:name="_Toc15377197"/>
      <w:bookmarkStart w:id="15" w:name="_Toc15396600"/>
      <w:r>
        <w:rPr>
          <w:rStyle w:val="26"/>
          <w:rFonts w:hint="eastAsia" w:ascii="黑体" w:hAnsi="黑体" w:eastAsia="黑体"/>
          <w:b w:val="0"/>
          <w:bCs w:val="0"/>
          <w:color w:val="auto"/>
          <w:highlight w:val="none"/>
          <w:lang w:val="en-US" w:eastAsia="zh-CN"/>
        </w:rPr>
        <w:t xml:space="preserve">  一.</w:t>
      </w:r>
      <w:r>
        <w:rPr>
          <w:rStyle w:val="26"/>
          <w:rFonts w:hint="eastAsia" w:ascii="黑体" w:hAnsi="黑体" w:eastAsia="黑体"/>
          <w:b w:val="0"/>
          <w:bCs w:val="0"/>
          <w:color w:val="auto"/>
          <w:highlight w:val="none"/>
        </w:rPr>
        <w:t>职能</w:t>
      </w:r>
      <w:r>
        <w:rPr>
          <w:rStyle w:val="26"/>
          <w:rFonts w:hint="eastAsia" w:ascii="黑体" w:hAnsi="黑体" w:eastAsia="黑体"/>
          <w:b w:val="0"/>
          <w:bCs w:val="0"/>
          <w:color w:val="auto"/>
          <w:highlight w:val="none"/>
          <w:lang w:eastAsia="zh-CN"/>
        </w:rPr>
        <w:t>简介</w:t>
      </w:r>
    </w:p>
    <w:p>
      <w:pPr>
        <w:keepNext w:val="0"/>
        <w:keepLines w:val="0"/>
        <w:widowControl/>
        <w:suppressLineNumbers w:val="0"/>
        <w:ind w:firstLine="620" w:firstLineChars="200"/>
        <w:jc w:val="left"/>
      </w:pPr>
      <w:r>
        <w:rPr>
          <w:rFonts w:ascii="仿宋" w:hAnsi="仿宋" w:eastAsia="仿宋" w:cs="仿宋"/>
          <w:color w:val="000000"/>
          <w:kern w:val="0"/>
          <w:sz w:val="31"/>
          <w:szCs w:val="31"/>
          <w:lang w:val="en-US" w:eastAsia="zh-CN" w:bidi="ar"/>
        </w:rPr>
        <w:t xml:space="preserve">我队是集地质矿产勘查开发、地灾防治、环境保护治理 </w:t>
      </w:r>
    </w:p>
    <w:p>
      <w:pPr>
        <w:widowControl/>
        <w:rPr>
          <w:rFonts w:hint="eastAsia"/>
        </w:rPr>
      </w:pPr>
      <w:r>
        <w:rPr>
          <w:rFonts w:hint="eastAsia" w:ascii="仿宋" w:hAnsi="仿宋" w:eastAsia="仿宋" w:cs="仿宋"/>
          <w:color w:val="000000"/>
          <w:kern w:val="0"/>
          <w:sz w:val="31"/>
          <w:szCs w:val="31"/>
          <w:lang w:val="en-US" w:eastAsia="zh-CN" w:bidi="ar"/>
        </w:rPr>
        <w:t>及投资融资为一体的综合性地勘队伍。</w:t>
      </w:r>
      <w:r>
        <w:rPr>
          <w:rFonts w:hint="eastAsia" w:ascii="仿宋_GB2312" w:hAnsi="宋体" w:eastAsia="仿宋_GB2312" w:cs="宋体"/>
          <w:bCs/>
          <w:kern w:val="0"/>
          <w:sz w:val="32"/>
          <w:szCs w:val="32"/>
        </w:rPr>
        <w:t>队现拥有各种甲级资质6个、乙级资质1个。其中，工程勘察专业类 （岩土工程〔勘察〕、水文地质勘察）、地质灾害防治危险性评估、地质灾害治理工程勘查、设计、施工为甲级资质。测绘为乙级资质。地基基础工程专业承包为贰级资质。我队是以地质找矿为核心竞争力的资源型地勘队伍，随着地质工作由资源型向资源与环境并重型的转变，结构性问题愈显突出。我队在做好传统地质找矿的同时，积极拓展新农村建设土地整治项目、城市地质环境调查、灾害地质调查、监测与预防等工作、农业地质调查、地质旅游规划等新领域。</w:t>
      </w:r>
    </w:p>
    <w:p>
      <w:pPr>
        <w:pStyle w:val="4"/>
        <w:numPr>
          <w:ilvl w:val="0"/>
          <w:numId w:val="0"/>
        </w:numPr>
        <w:ind w:firstLine="640" w:firstLineChars="200"/>
        <w:rPr>
          <w:rFonts w:hint="eastAsia" w:ascii="黑体" w:hAnsi="黑体" w:eastAsia="黑体"/>
          <w:b w:val="0"/>
          <w:color w:val="auto"/>
          <w:highlight w:val="none"/>
          <w:lang w:eastAsia="zh-CN"/>
        </w:rPr>
      </w:pPr>
      <w:r>
        <w:rPr>
          <w:rFonts w:hint="eastAsia" w:ascii="黑体" w:hAnsi="黑体" w:eastAsia="黑体"/>
          <w:b w:val="0"/>
          <w:color w:val="auto"/>
          <w:highlight w:val="none"/>
          <w:lang w:val="en-US" w:eastAsia="zh-CN"/>
        </w:rPr>
        <w:t>二.2021年重点</w:t>
      </w:r>
      <w:r>
        <w:rPr>
          <w:rFonts w:hint="eastAsia" w:ascii="黑体" w:hAnsi="黑体" w:eastAsia="黑体"/>
          <w:b w:val="0"/>
          <w:color w:val="auto"/>
          <w:highlight w:val="none"/>
        </w:rPr>
        <w:t>工作</w:t>
      </w:r>
      <w:bookmarkEnd w:id="14"/>
      <w:bookmarkEnd w:id="15"/>
      <w:r>
        <w:rPr>
          <w:rFonts w:hint="eastAsia" w:ascii="黑体" w:hAnsi="黑体" w:eastAsia="黑体"/>
          <w:b w:val="0"/>
          <w:color w:val="auto"/>
          <w:highlight w:val="none"/>
          <w:lang w:eastAsia="zh-CN"/>
        </w:rPr>
        <w:t>完成情况</w:t>
      </w:r>
    </w:p>
    <w:p>
      <w:pPr>
        <w:keepNext w:val="0"/>
        <w:keepLines w:val="0"/>
        <w:widowControl/>
        <w:suppressLineNumbers w:val="0"/>
        <w:ind w:firstLine="620" w:firstLineChars="200"/>
        <w:jc w:val="left"/>
      </w:pPr>
      <w:r>
        <w:rPr>
          <w:rFonts w:ascii="仿宋" w:hAnsi="仿宋" w:eastAsia="仿宋" w:cs="仿宋"/>
          <w:color w:val="000000"/>
          <w:kern w:val="0"/>
          <w:sz w:val="31"/>
          <w:szCs w:val="31"/>
          <w:lang w:val="en-US" w:eastAsia="zh-CN" w:bidi="ar"/>
        </w:rPr>
        <w:t xml:space="preserve">2021 年，我队在局党委的坚强领导下,以习近平新时代 </w:t>
      </w:r>
    </w:p>
    <w:p>
      <w:pPr>
        <w:keepNext w:val="0"/>
        <w:keepLines w:val="0"/>
        <w:widowControl/>
        <w:suppressLineNumbers w:val="0"/>
        <w:jc w:val="left"/>
      </w:pPr>
      <w:r>
        <w:rPr>
          <w:rFonts w:hint="eastAsia" w:ascii="仿宋" w:hAnsi="仿宋" w:eastAsia="仿宋" w:cs="仿宋"/>
          <w:color w:val="000000"/>
          <w:kern w:val="0"/>
          <w:sz w:val="31"/>
          <w:szCs w:val="31"/>
          <w:lang w:val="en-US" w:eastAsia="zh-CN" w:bidi="ar"/>
        </w:rPr>
        <w:t xml:space="preserve">中国特色社会主义思想为指导， 全面贯彻落实中央、省委省 </w:t>
      </w:r>
    </w:p>
    <w:p>
      <w:pPr>
        <w:keepNext w:val="0"/>
        <w:keepLines w:val="0"/>
        <w:widowControl/>
        <w:suppressLineNumbers w:val="0"/>
        <w:jc w:val="left"/>
      </w:pPr>
      <w:r>
        <w:rPr>
          <w:rFonts w:hint="eastAsia" w:ascii="仿宋" w:hAnsi="仿宋" w:eastAsia="仿宋" w:cs="仿宋"/>
          <w:color w:val="000000"/>
          <w:kern w:val="0"/>
          <w:sz w:val="31"/>
          <w:szCs w:val="31"/>
          <w:lang w:val="en-US" w:eastAsia="zh-CN" w:bidi="ar"/>
        </w:rPr>
        <w:t xml:space="preserve">政府和局党委各项决策部署， 坚持新发展理念， 坚持为工业 </w:t>
      </w:r>
    </w:p>
    <w:p>
      <w:pPr>
        <w:keepNext w:val="0"/>
        <w:keepLines w:val="0"/>
        <w:widowControl/>
        <w:suppressLineNumbers w:val="0"/>
        <w:jc w:val="left"/>
      </w:pPr>
      <w:r>
        <w:rPr>
          <w:rFonts w:hint="eastAsia" w:ascii="仿宋" w:hAnsi="仿宋" w:eastAsia="仿宋" w:cs="仿宋"/>
          <w:color w:val="000000"/>
          <w:kern w:val="0"/>
          <w:sz w:val="31"/>
          <w:szCs w:val="31"/>
          <w:lang w:val="en-US" w:eastAsia="zh-CN" w:bidi="ar"/>
        </w:rPr>
        <w:t xml:space="preserve">找矿、为产业和民生服务，坚守 “全面融入地方发展体系、 </w:t>
      </w:r>
    </w:p>
    <w:p>
      <w:pPr>
        <w:keepNext w:val="0"/>
        <w:keepLines w:val="0"/>
        <w:widowControl/>
        <w:suppressLineNumbers w:val="0"/>
        <w:jc w:val="left"/>
      </w:pPr>
      <w:r>
        <w:rPr>
          <w:rFonts w:hint="eastAsia" w:ascii="仿宋" w:hAnsi="仿宋" w:eastAsia="仿宋" w:cs="仿宋"/>
          <w:color w:val="000000"/>
          <w:kern w:val="0"/>
          <w:sz w:val="31"/>
          <w:szCs w:val="31"/>
          <w:lang w:val="en-US" w:eastAsia="zh-CN" w:bidi="ar"/>
        </w:rPr>
        <w:t xml:space="preserve">精准服务政府运行目标”工作定位， 以生产经营为龙头， 以 </w:t>
      </w:r>
    </w:p>
    <w:p>
      <w:pPr>
        <w:keepNext w:val="0"/>
        <w:keepLines w:val="0"/>
        <w:widowControl/>
        <w:suppressLineNumbers w:val="0"/>
        <w:jc w:val="left"/>
      </w:pPr>
      <w:r>
        <w:rPr>
          <w:rFonts w:hint="eastAsia" w:ascii="仿宋" w:hAnsi="仿宋" w:eastAsia="仿宋" w:cs="仿宋"/>
          <w:color w:val="000000"/>
          <w:kern w:val="0"/>
          <w:sz w:val="31"/>
          <w:szCs w:val="31"/>
          <w:lang w:val="en-US" w:eastAsia="zh-CN" w:bidi="ar"/>
        </w:rPr>
        <w:t xml:space="preserve">改革转型为主线， 全力抓好蜀康公司公司制改制和固矿院整 </w:t>
      </w:r>
    </w:p>
    <w:p>
      <w:pPr>
        <w:keepNext w:val="0"/>
        <w:keepLines w:val="0"/>
        <w:widowControl/>
        <w:suppressLineNumbers w:val="0"/>
        <w:jc w:val="left"/>
        <w:rPr>
          <w:rFonts w:hint="eastAsia" w:ascii="仿宋" w:hAnsi="仿宋" w:eastAsia="仿宋" w:cs="仿宋"/>
          <w:color w:val="000000"/>
          <w:kern w:val="0"/>
          <w:sz w:val="31"/>
          <w:szCs w:val="31"/>
          <w:lang w:val="en-US" w:eastAsia="zh-CN" w:bidi="ar"/>
        </w:rPr>
      </w:pPr>
      <w:r>
        <w:rPr>
          <w:rFonts w:hint="eastAsia" w:ascii="仿宋" w:hAnsi="仿宋" w:eastAsia="仿宋" w:cs="仿宋"/>
          <w:color w:val="000000"/>
          <w:kern w:val="0"/>
          <w:sz w:val="31"/>
          <w:szCs w:val="31"/>
          <w:lang w:val="en-US" w:eastAsia="zh-CN" w:bidi="ar"/>
        </w:rPr>
        <w:t>合运行，努力实现机制灵活、结构优化、经济发展的目标、营造职工幸福的环境。</w:t>
      </w:r>
    </w:p>
    <w:p>
      <w:pPr>
        <w:widowControl/>
        <w:ind w:firstLine="627" w:firstLineChars="196"/>
        <w:rPr>
          <w:rFonts w:hint="eastAsia" w:ascii="仿宋_GB2312" w:hAnsi="宋体" w:eastAsia="仿宋_GB2312" w:cs="宋体"/>
          <w:bCs/>
          <w:kern w:val="0"/>
          <w:sz w:val="32"/>
          <w:szCs w:val="32"/>
          <w:lang w:val="en-US" w:eastAsia="zh-CN"/>
        </w:rPr>
      </w:pPr>
      <w:r>
        <w:rPr>
          <w:rFonts w:hint="eastAsia" w:ascii="仿宋_GB2312" w:hAnsi="宋体" w:eastAsia="仿宋_GB2312" w:cs="宋体"/>
          <w:bCs/>
          <w:kern w:val="0"/>
          <w:sz w:val="32"/>
          <w:szCs w:val="32"/>
          <w:lang w:val="en-US" w:eastAsia="zh-CN"/>
        </w:rPr>
        <w:t>1.完成项目用款融资工作：我队想方设法进行项目融资，2021年续贷及新增银行贷款2.91亿元，以保障项目顺利实施；组织研究完善相关内部控制制度，抓住内部控制关键节点和控制流程保障项目顺利进行；积极发挥土地整理公司聘请的法律、跟审、财务审计等三个专业咨询服务机构的作用，保障项目实施全过程、全方位的合法、合规、合理性；按照“三重一大”实行管理，队纪监办、审计科、财务科等职能部门都积极介入该项工作中。</w:t>
      </w:r>
    </w:p>
    <w:p>
      <w:pPr>
        <w:widowControl/>
        <w:ind w:firstLine="627" w:firstLineChars="196"/>
        <w:rPr>
          <w:rFonts w:hint="eastAsia" w:ascii="仿宋_GB2312" w:hAnsi="宋体" w:eastAsia="仿宋_GB2312" w:cs="宋体"/>
          <w:bCs/>
          <w:kern w:val="0"/>
          <w:sz w:val="32"/>
          <w:szCs w:val="32"/>
          <w:lang w:val="en-US" w:eastAsia="zh-CN"/>
        </w:rPr>
      </w:pPr>
      <w:r>
        <w:rPr>
          <w:rFonts w:hint="eastAsia" w:ascii="仿宋_GB2312" w:hAnsi="宋体" w:eastAsia="仿宋_GB2312" w:cs="宋体"/>
          <w:bCs/>
          <w:kern w:val="0"/>
          <w:sz w:val="32"/>
          <w:szCs w:val="32"/>
          <w:lang w:val="en-US" w:eastAsia="zh-CN"/>
        </w:rPr>
        <w:t>2.市场领域不断拓展：我们紧贴国家发展战略、紧跟局党委“地质+”战略，在干中学、学中干，持续拓展地质延伸产业，努力培育新的地勘经济增长点。在“地质+应急管理”方面，开展了四川省活动断层普查项目子项目——松潘县</w:t>
      </w:r>
      <w:r>
        <w:rPr>
          <w:rFonts w:hint="default" w:ascii="仿宋_GB2312" w:hAnsi="宋体" w:eastAsia="仿宋_GB2312" w:cs="宋体"/>
          <w:bCs/>
          <w:kern w:val="0"/>
          <w:sz w:val="32"/>
          <w:szCs w:val="32"/>
          <w:lang w:val="en-US" w:eastAsia="zh-CN"/>
        </w:rPr>
        <w:t>1</w:t>
      </w:r>
      <w:r>
        <w:rPr>
          <w:rFonts w:hint="eastAsia" w:ascii="仿宋_GB2312" w:hAnsi="宋体" w:eastAsia="仿宋_GB2312" w:cs="宋体"/>
          <w:bCs/>
          <w:kern w:val="0"/>
          <w:sz w:val="32"/>
          <w:szCs w:val="32"/>
          <w:lang w:val="en-US" w:eastAsia="zh-CN"/>
        </w:rPr>
        <w:t>:</w:t>
      </w:r>
      <w:r>
        <w:rPr>
          <w:rFonts w:hint="default" w:ascii="仿宋_GB2312" w:hAnsi="宋体" w:eastAsia="仿宋_GB2312" w:cs="宋体"/>
          <w:bCs/>
          <w:kern w:val="0"/>
          <w:sz w:val="32"/>
          <w:szCs w:val="32"/>
          <w:lang w:val="en-US" w:eastAsia="zh-CN"/>
        </w:rPr>
        <w:t>1</w:t>
      </w:r>
      <w:r>
        <w:rPr>
          <w:rFonts w:hint="eastAsia" w:ascii="仿宋_GB2312" w:hAnsi="宋体" w:eastAsia="仿宋_GB2312" w:cs="宋体"/>
          <w:bCs/>
          <w:kern w:val="0"/>
          <w:sz w:val="32"/>
          <w:szCs w:val="32"/>
          <w:lang w:val="en-US" w:eastAsia="zh-CN"/>
        </w:rPr>
        <w:t>万城市活动断层探测和康定</w:t>
      </w:r>
      <w:r>
        <w:rPr>
          <w:rFonts w:hint="default" w:ascii="仿宋_GB2312" w:hAnsi="宋体" w:eastAsia="仿宋_GB2312" w:cs="宋体"/>
          <w:bCs/>
          <w:kern w:val="0"/>
          <w:sz w:val="32"/>
          <w:szCs w:val="32"/>
          <w:lang w:val="en-US" w:eastAsia="zh-CN"/>
        </w:rPr>
        <w:t>1</w:t>
      </w:r>
      <w:r>
        <w:rPr>
          <w:rFonts w:hint="eastAsia" w:ascii="仿宋_GB2312" w:hAnsi="宋体" w:eastAsia="仿宋_GB2312" w:cs="宋体"/>
          <w:bCs/>
          <w:kern w:val="0"/>
          <w:sz w:val="32"/>
          <w:szCs w:val="32"/>
          <w:lang w:val="en-US" w:eastAsia="zh-CN"/>
        </w:rPr>
        <w:t>：</w:t>
      </w:r>
      <w:r>
        <w:rPr>
          <w:rFonts w:hint="default" w:ascii="仿宋_GB2312" w:hAnsi="宋体" w:eastAsia="仿宋_GB2312" w:cs="宋体"/>
          <w:bCs/>
          <w:kern w:val="0"/>
          <w:sz w:val="32"/>
          <w:szCs w:val="32"/>
          <w:lang w:val="en-US" w:eastAsia="zh-CN"/>
        </w:rPr>
        <w:t>1</w:t>
      </w:r>
      <w:r>
        <w:rPr>
          <w:rFonts w:hint="eastAsia" w:ascii="仿宋_GB2312" w:hAnsi="宋体" w:eastAsia="仿宋_GB2312" w:cs="宋体"/>
          <w:bCs/>
          <w:kern w:val="0"/>
          <w:sz w:val="32"/>
          <w:szCs w:val="32"/>
          <w:lang w:val="en-US" w:eastAsia="zh-CN"/>
        </w:rPr>
        <w:t>万城市活动断层探查。在“地质+自然资源”方面，开展了四川九龙地区</w:t>
      </w:r>
      <w:r>
        <w:rPr>
          <w:rFonts w:hint="default" w:ascii="仿宋_GB2312" w:hAnsi="宋体" w:eastAsia="仿宋_GB2312" w:cs="宋体"/>
          <w:bCs/>
          <w:kern w:val="0"/>
          <w:sz w:val="32"/>
          <w:szCs w:val="32"/>
          <w:lang w:val="en-US" w:eastAsia="zh-CN"/>
        </w:rPr>
        <w:t>1</w:t>
      </w:r>
      <w:r>
        <w:rPr>
          <w:rFonts w:hint="eastAsia" w:ascii="仿宋_GB2312" w:hAnsi="宋体" w:eastAsia="仿宋_GB2312" w:cs="宋体"/>
          <w:bCs/>
          <w:kern w:val="0"/>
          <w:sz w:val="32"/>
          <w:szCs w:val="32"/>
          <w:lang w:val="en-US" w:eastAsia="zh-CN"/>
        </w:rPr>
        <w:t>:</w:t>
      </w:r>
      <w:r>
        <w:rPr>
          <w:rFonts w:hint="default" w:ascii="仿宋_GB2312" w:hAnsi="宋体" w:eastAsia="仿宋_GB2312" w:cs="宋体"/>
          <w:bCs/>
          <w:kern w:val="0"/>
          <w:sz w:val="32"/>
          <w:szCs w:val="32"/>
          <w:lang w:val="en-US" w:eastAsia="zh-CN"/>
        </w:rPr>
        <w:t>5</w:t>
      </w:r>
      <w:r>
        <w:rPr>
          <w:rFonts w:hint="eastAsia" w:ascii="仿宋_GB2312" w:hAnsi="宋体" w:eastAsia="仿宋_GB2312" w:cs="宋体"/>
          <w:bCs/>
          <w:kern w:val="0"/>
          <w:sz w:val="32"/>
          <w:szCs w:val="32"/>
          <w:lang w:val="en-US" w:eastAsia="zh-CN"/>
        </w:rPr>
        <w:t>万四幅矿调，该项目铷、铍找矿获得重要突破。在“地质+文化旅游”方面，参与了四川省文化和旅游资源普查项目，负责雅安汉源县、雅安荥经县、巴中恩阳区三地的文化和旅游资源普查技术指导、培</w:t>
      </w:r>
      <w:bookmarkStart w:id="63" w:name="_GoBack"/>
      <w:bookmarkEnd w:id="63"/>
      <w:r>
        <w:rPr>
          <w:rFonts w:hint="eastAsia" w:ascii="仿宋_GB2312" w:hAnsi="宋体" w:eastAsia="仿宋_GB2312" w:cs="宋体"/>
          <w:bCs/>
          <w:kern w:val="0"/>
          <w:sz w:val="32"/>
          <w:szCs w:val="32"/>
          <w:lang w:val="en-US" w:eastAsia="zh-CN"/>
        </w:rPr>
        <w:t>训和督导工作，负责雅安荥经县、成都崇州市的文化和旅游资源普查项目；全队共</w:t>
      </w:r>
      <w:r>
        <w:rPr>
          <w:rFonts w:hint="default" w:ascii="仿宋_GB2312" w:hAnsi="宋体" w:eastAsia="仿宋_GB2312" w:cs="宋体"/>
          <w:bCs/>
          <w:kern w:val="0"/>
          <w:sz w:val="32"/>
          <w:szCs w:val="32"/>
          <w:lang w:val="en-US" w:eastAsia="zh-CN"/>
        </w:rPr>
        <w:t>26</w:t>
      </w:r>
      <w:r>
        <w:rPr>
          <w:rFonts w:hint="eastAsia" w:ascii="仿宋_GB2312" w:hAnsi="宋体" w:eastAsia="仿宋_GB2312" w:cs="宋体"/>
          <w:bCs/>
          <w:kern w:val="0"/>
          <w:sz w:val="32"/>
          <w:szCs w:val="32"/>
          <w:lang w:val="en-US" w:eastAsia="zh-CN"/>
        </w:rPr>
        <w:t>人通过局文旅资源培训考核系统并获得合格证书。在“地质+城镇建设”方面，开展了崇州市污水管网病害检测服务采购续作项目、青白江清泉镇红岩村等地质灾害搬迁增减挂钩项目。拓展新领域工作涉足水系综合整治项目。</w:t>
      </w:r>
    </w:p>
    <w:p>
      <w:pPr>
        <w:widowControl/>
        <w:ind w:firstLine="627" w:firstLineChars="196"/>
        <w:rPr>
          <w:rFonts w:hint="eastAsia" w:ascii="仿宋_GB2312" w:hAnsi="宋体" w:eastAsia="仿宋_GB2312" w:cs="宋体"/>
          <w:bCs/>
          <w:kern w:val="0"/>
          <w:sz w:val="32"/>
          <w:szCs w:val="32"/>
          <w:lang w:val="en-US" w:eastAsia="zh-CN"/>
        </w:rPr>
      </w:pPr>
      <w:r>
        <w:rPr>
          <w:rFonts w:hint="eastAsia" w:ascii="仿宋_GB2312" w:hAnsi="宋体" w:eastAsia="仿宋_GB2312" w:cs="宋体"/>
          <w:bCs/>
          <w:kern w:val="0"/>
          <w:sz w:val="32"/>
          <w:szCs w:val="32"/>
          <w:lang w:val="en-US" w:eastAsia="zh-CN"/>
        </w:rPr>
        <w:t>3.在地质找矿工作方面：传统矿产勘查市场断崖式下挫，外部市场竞争趋于白热化，受全国新型冠状病毒肺炎疫情影响，2021年签订合同总额大幅下降，转变传统找矿思维，向绿色勘查方向发展，向矿山恢复治理方向发力。继续保留住了这块阵地；保持住了找矿核心竞争力；保留住了找矿技术人才的稳定。</w:t>
      </w:r>
    </w:p>
    <w:p>
      <w:pPr>
        <w:widowControl/>
        <w:ind w:firstLine="627" w:firstLineChars="196"/>
        <w:rPr>
          <w:rFonts w:hint="eastAsia" w:ascii="仿宋_GB2312" w:hAnsi="宋体" w:eastAsia="仿宋_GB2312" w:cs="宋体"/>
          <w:bCs/>
          <w:kern w:val="0"/>
          <w:sz w:val="32"/>
          <w:szCs w:val="32"/>
          <w:lang w:val="en-US" w:eastAsia="zh-CN"/>
        </w:rPr>
      </w:pPr>
      <w:r>
        <w:rPr>
          <w:rFonts w:hint="eastAsia" w:ascii="仿宋_GB2312" w:hAnsi="宋体" w:eastAsia="仿宋_GB2312" w:cs="宋体"/>
          <w:bCs/>
          <w:kern w:val="0"/>
          <w:sz w:val="32"/>
          <w:szCs w:val="32"/>
          <w:lang w:val="en-US" w:eastAsia="zh-CN"/>
        </w:rPr>
        <w:t>4.内部控制制度建设方面：本年在相关部门的共同努力下，根据我队的实际需要，基本完善了内部控制制度的修订工作。</w:t>
      </w:r>
    </w:p>
    <w:p>
      <w:pPr>
        <w:widowControl/>
        <w:ind w:firstLine="627" w:firstLineChars="196"/>
        <w:rPr>
          <w:rFonts w:hint="eastAsia" w:ascii="仿宋_GB2312" w:hAnsi="宋体" w:eastAsia="仿宋_GB2312" w:cs="宋体"/>
          <w:bCs/>
          <w:kern w:val="0"/>
          <w:sz w:val="32"/>
          <w:szCs w:val="32"/>
          <w:lang w:val="en-US" w:eastAsia="zh-CN"/>
        </w:rPr>
      </w:pPr>
      <w:r>
        <w:rPr>
          <w:rFonts w:hint="eastAsia" w:ascii="仿宋_GB2312" w:hAnsi="宋体" w:eastAsia="仿宋_GB2312" w:cs="宋体"/>
          <w:bCs/>
          <w:kern w:val="0"/>
          <w:sz w:val="32"/>
          <w:szCs w:val="32"/>
          <w:lang w:val="en-US" w:eastAsia="zh-CN"/>
        </w:rPr>
        <w:t>5.持续抓</w:t>
      </w:r>
      <w:r>
        <w:rPr>
          <w:rFonts w:hint="eastAsia" w:ascii="仿宋_GB2312" w:hAnsi="宋体" w:eastAsia="仿宋_GB2312" w:cs="宋体"/>
          <w:bCs/>
          <w:kern w:val="0"/>
          <w:sz w:val="32"/>
          <w:szCs w:val="32"/>
          <w:lang w:val="zh-CN" w:eastAsia="zh-CN"/>
        </w:rPr>
        <w:t>安全生产和维护单位和谐稳定工作：做好</w:t>
      </w:r>
      <w:r>
        <w:rPr>
          <w:rFonts w:hint="eastAsia" w:ascii="仿宋_GB2312" w:hAnsi="宋体" w:eastAsia="仿宋_GB2312" w:cs="宋体"/>
          <w:bCs/>
          <w:kern w:val="0"/>
          <w:sz w:val="32"/>
          <w:szCs w:val="32"/>
          <w:lang w:val="en-US" w:eastAsia="zh-CN"/>
        </w:rPr>
        <w:t>疫情防控工作、做好信访工作、抓好安全生产管理、维持稳定和谐态势、保障安措费专款专用和足额使用。</w:t>
      </w:r>
    </w:p>
    <w:p>
      <w:pPr>
        <w:widowControl/>
        <w:ind w:firstLine="627" w:firstLineChars="196"/>
        <w:rPr>
          <w:rFonts w:hint="eastAsia" w:ascii="仿宋_GB2312" w:hAnsi="宋体" w:eastAsia="仿宋_GB2312" w:cs="宋体"/>
          <w:bCs/>
          <w:kern w:val="0"/>
          <w:sz w:val="32"/>
          <w:szCs w:val="32"/>
          <w:lang w:val="en-US" w:eastAsia="zh-CN"/>
        </w:rPr>
      </w:pPr>
      <w:r>
        <w:rPr>
          <w:rFonts w:hint="eastAsia" w:ascii="仿宋_GB2312" w:hAnsi="宋体" w:eastAsia="仿宋_GB2312" w:cs="宋体"/>
          <w:bCs/>
          <w:kern w:val="0"/>
          <w:sz w:val="32"/>
          <w:szCs w:val="32"/>
          <w:lang w:val="en-US" w:eastAsia="zh-CN"/>
        </w:rPr>
        <w:t>6.全面加强党的建设和党风廉政建设：我队认真组织学习贯彻中央、省和地矿局指示精神，并结合队情将精神落实到具体工作中。</w:t>
      </w:r>
    </w:p>
    <w:p>
      <w:pPr>
        <w:pStyle w:val="2"/>
        <w:rPr>
          <w:rFonts w:hint="eastAsia"/>
          <w:lang w:val="en-US" w:eastAsia="zh-CN"/>
        </w:rPr>
      </w:pPr>
    </w:p>
    <w:p>
      <w:pPr>
        <w:pStyle w:val="2"/>
        <w:rPr>
          <w:rFonts w:hint="eastAsia" w:ascii="黑体" w:hAnsi="黑体" w:eastAsia="黑体" w:cstheme="majorBidi"/>
          <w:b w:val="0"/>
          <w:bCs/>
          <w:color w:val="auto"/>
          <w:kern w:val="2"/>
          <w:sz w:val="32"/>
          <w:szCs w:val="32"/>
          <w:highlight w:val="none"/>
          <w:lang w:val="en-US" w:eastAsia="zh-CN" w:bidi="ar-SA"/>
        </w:rPr>
      </w:pPr>
      <w:r>
        <w:rPr>
          <w:rFonts w:hint="eastAsia" w:ascii="黑体" w:hAnsi="黑体" w:eastAsia="黑体" w:cstheme="majorBidi"/>
          <w:b w:val="0"/>
          <w:bCs/>
          <w:color w:val="auto"/>
          <w:kern w:val="2"/>
          <w:sz w:val="32"/>
          <w:szCs w:val="32"/>
          <w:highlight w:val="none"/>
          <w:lang w:val="en-US" w:eastAsia="zh-CN" w:bidi="ar-SA"/>
        </w:rPr>
        <w:t>三.机构设置情况</w:t>
      </w:r>
    </w:p>
    <w:p>
      <w:pPr>
        <w:keepNext w:val="0"/>
        <w:keepLines w:val="0"/>
        <w:widowControl/>
        <w:suppressLineNumbers w:val="0"/>
        <w:ind w:firstLine="640" w:firstLineChars="200"/>
        <w:jc w:val="left"/>
        <w:rPr>
          <w:rFonts w:ascii="仿宋" w:hAnsi="仿宋" w:eastAsia="仿宋"/>
          <w:color w:val="auto"/>
          <w:kern w:val="0"/>
          <w:sz w:val="32"/>
          <w:szCs w:val="32"/>
          <w:highlight w:val="none"/>
        </w:rPr>
      </w:pPr>
      <w:r>
        <w:rPr>
          <w:rFonts w:hint="eastAsia" w:ascii="仿宋_GB2312" w:hAnsi="宋体" w:eastAsia="仿宋_GB2312" w:cs="宋体"/>
          <w:bCs/>
          <w:kern w:val="0"/>
          <w:sz w:val="32"/>
          <w:szCs w:val="32"/>
          <w:lang w:val="en-US" w:eastAsia="zh-CN"/>
        </w:rPr>
        <w:t>大队设置15个部门，分别是：行政综合管理部、党办、纪检办、工会办、审计科、劳人科、离退休科、财务科、技术质量管理部、安全生产管理科、物业中心、地质调查研究所、资源与环境工程中心、矿产资源综合评价所及地理信息中心。</w:t>
      </w:r>
      <w:r>
        <w:rPr>
          <w:rFonts w:ascii="仿宋" w:hAnsi="仿宋" w:eastAsia="仿宋"/>
          <w:color w:val="auto"/>
          <w:sz w:val="32"/>
          <w:szCs w:val="32"/>
          <w:highlight w:val="none"/>
        </w:rPr>
        <w:br w:type="page"/>
      </w:r>
    </w:p>
    <w:p>
      <w:pPr>
        <w:pStyle w:val="3"/>
        <w:ind w:right="440"/>
        <w:jc w:val="center"/>
        <w:rPr>
          <w:color w:val="auto"/>
          <w:highlight w:val="none"/>
        </w:rPr>
      </w:pPr>
      <w:bookmarkStart w:id="16" w:name="_Toc15377204"/>
      <w:bookmarkStart w:id="17" w:name="_Toc15396602"/>
      <w:r>
        <w:rPr>
          <w:rFonts w:hint="eastAsia" w:ascii="黑体" w:hAnsi="黑体" w:eastAsia="黑体"/>
          <w:b w:val="0"/>
          <w:bCs/>
          <w:color w:val="auto"/>
          <w:highlight w:val="none"/>
          <w:lang w:val="en-US" w:eastAsia="zh-CN"/>
        </w:rPr>
        <w:t xml:space="preserve">  </w:t>
      </w:r>
      <w:r>
        <w:rPr>
          <w:rFonts w:hint="eastAsia" w:ascii="黑体" w:hAnsi="黑体" w:eastAsia="黑体"/>
          <w:b w:val="0"/>
          <w:bCs/>
          <w:color w:val="auto"/>
          <w:highlight w:val="none"/>
        </w:rPr>
        <w:t xml:space="preserve">第二部分 </w:t>
      </w:r>
      <w:r>
        <w:rPr>
          <w:rFonts w:hint="eastAsia" w:ascii="黑体" w:hAnsi="黑体" w:eastAsia="黑体"/>
          <w:b w:val="0"/>
          <w:bCs/>
          <w:color w:val="auto"/>
          <w:highlight w:val="none"/>
          <w:lang w:val="en-US" w:eastAsia="zh-CN"/>
        </w:rPr>
        <w:t>2021年度</w:t>
      </w:r>
      <w:r>
        <w:rPr>
          <w:rStyle w:val="25"/>
          <w:rFonts w:hint="eastAsia" w:ascii="黑体" w:hAnsi="黑体" w:eastAsia="黑体"/>
          <w:b w:val="0"/>
          <w:bCs/>
          <w:color w:val="auto"/>
          <w:highlight w:val="none"/>
          <w:lang w:eastAsia="zh-CN"/>
        </w:rPr>
        <w:t>单位</w:t>
      </w:r>
      <w:r>
        <w:rPr>
          <w:rStyle w:val="25"/>
          <w:rFonts w:hint="eastAsia" w:ascii="黑体" w:hAnsi="黑体" w:eastAsia="黑体"/>
          <w:b w:val="0"/>
          <w:bCs/>
          <w:color w:val="auto"/>
          <w:highlight w:val="none"/>
        </w:rPr>
        <w:t>决算情况说明</w:t>
      </w:r>
      <w:bookmarkEnd w:id="16"/>
      <w:bookmarkEnd w:id="17"/>
    </w:p>
    <w:p>
      <w:pPr>
        <w:pStyle w:val="24"/>
        <w:numPr>
          <w:ilvl w:val="0"/>
          <w:numId w:val="0"/>
        </w:numPr>
        <w:spacing w:line="600" w:lineRule="exact"/>
        <w:ind w:left="640" w:leftChars="0"/>
        <w:outlineLvl w:val="1"/>
        <w:rPr>
          <w:rStyle w:val="26"/>
          <w:rFonts w:ascii="黑体" w:hAnsi="黑体" w:eastAsia="黑体"/>
          <w:b w:val="0"/>
          <w:color w:val="auto"/>
          <w:highlight w:val="none"/>
        </w:rPr>
      </w:pPr>
      <w:bookmarkStart w:id="18" w:name="_Toc15396603"/>
      <w:bookmarkStart w:id="19" w:name="_Toc15377205"/>
      <w:r>
        <w:rPr>
          <w:rFonts w:hint="eastAsia" w:ascii="黑体" w:hAnsi="黑体" w:eastAsia="黑体"/>
          <w:color w:val="auto"/>
          <w:sz w:val="32"/>
          <w:szCs w:val="32"/>
          <w:highlight w:val="none"/>
          <w:lang w:eastAsia="zh-CN"/>
        </w:rPr>
        <w:t>一</w:t>
      </w:r>
      <w:r>
        <w:rPr>
          <w:rFonts w:hint="eastAsia" w:ascii="黑体" w:hAnsi="黑体" w:eastAsia="黑体"/>
          <w:color w:val="auto"/>
          <w:sz w:val="32"/>
          <w:szCs w:val="32"/>
          <w:highlight w:val="none"/>
          <w:lang w:val="en-US" w:eastAsia="zh-CN"/>
        </w:rPr>
        <w:t>.</w:t>
      </w:r>
      <w:r>
        <w:rPr>
          <w:rFonts w:hint="eastAsia" w:ascii="黑体" w:hAnsi="黑体" w:eastAsia="黑体"/>
          <w:color w:val="auto"/>
          <w:sz w:val="32"/>
          <w:szCs w:val="32"/>
          <w:highlight w:val="none"/>
        </w:rPr>
        <w:t>收</w:t>
      </w:r>
      <w:r>
        <w:rPr>
          <w:rStyle w:val="26"/>
          <w:rFonts w:hint="eastAsia" w:ascii="黑体" w:hAnsi="黑体" w:eastAsia="黑体"/>
          <w:b w:val="0"/>
          <w:color w:val="auto"/>
          <w:highlight w:val="none"/>
        </w:rPr>
        <w:t>入支出决算总体情况说明</w:t>
      </w:r>
      <w:bookmarkEnd w:id="18"/>
      <w:bookmarkEnd w:id="19"/>
    </w:p>
    <w:p>
      <w:pPr>
        <w:spacing w:line="600" w:lineRule="exact"/>
        <w:ind w:firstLine="640" w:firstLineChars="200"/>
        <w:rPr>
          <w:rFonts w:hint="eastAsia" w:ascii="仿宋" w:hAnsi="仿宋" w:eastAsia="仿宋"/>
          <w:color w:val="auto"/>
          <w:sz w:val="32"/>
          <w:szCs w:val="32"/>
          <w:lang w:eastAsia="zh-CN"/>
        </w:rPr>
      </w:pPr>
      <w:r>
        <w:rPr>
          <w:rFonts w:hint="eastAsia"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21</w:t>
      </w:r>
      <w:r>
        <w:rPr>
          <w:rFonts w:hint="eastAsia" w:ascii="仿宋" w:hAnsi="仿宋" w:eastAsia="仿宋"/>
          <w:color w:val="auto"/>
          <w:sz w:val="32"/>
          <w:szCs w:val="32"/>
          <w:highlight w:val="none"/>
        </w:rPr>
        <w:t>年度收、支总计29269.58万元。与20</w:t>
      </w:r>
      <w:r>
        <w:rPr>
          <w:rFonts w:hint="eastAsia" w:ascii="仿宋" w:hAnsi="仿宋" w:eastAsia="仿宋"/>
          <w:color w:val="auto"/>
          <w:sz w:val="32"/>
          <w:szCs w:val="32"/>
          <w:highlight w:val="none"/>
          <w:lang w:val="en-US" w:eastAsia="zh-CN"/>
        </w:rPr>
        <w:t>20</w:t>
      </w:r>
      <w:r>
        <w:rPr>
          <w:rFonts w:hint="eastAsia" w:ascii="仿宋" w:hAnsi="仿宋" w:eastAsia="仿宋"/>
          <w:color w:val="auto"/>
          <w:sz w:val="32"/>
          <w:szCs w:val="32"/>
          <w:highlight w:val="none"/>
        </w:rPr>
        <w:t>年相比，</w:t>
      </w:r>
      <w:r>
        <w:rPr>
          <w:rFonts w:hint="eastAsia" w:ascii="仿宋" w:hAnsi="仿宋" w:eastAsia="仿宋"/>
          <w:color w:val="auto"/>
          <w:sz w:val="32"/>
          <w:szCs w:val="32"/>
          <w:highlight w:val="none"/>
          <w:lang w:eastAsia="zh-CN"/>
        </w:rPr>
        <w:t>收入</w:t>
      </w:r>
      <w:r>
        <w:rPr>
          <w:rFonts w:hint="eastAsia" w:ascii="仿宋" w:hAnsi="仿宋" w:eastAsia="仿宋"/>
          <w:color w:val="auto"/>
          <w:sz w:val="32"/>
          <w:szCs w:val="32"/>
          <w:highlight w:val="none"/>
        </w:rPr>
        <w:t>减少</w:t>
      </w:r>
      <w:r>
        <w:rPr>
          <w:rFonts w:hint="eastAsia" w:ascii="仿宋" w:hAnsi="仿宋" w:eastAsia="仿宋"/>
          <w:color w:val="auto"/>
          <w:sz w:val="32"/>
          <w:szCs w:val="32"/>
          <w:highlight w:val="none"/>
          <w:lang w:val="en-US" w:eastAsia="zh-CN"/>
        </w:rPr>
        <w:t>588.22</w:t>
      </w:r>
      <w:r>
        <w:rPr>
          <w:rFonts w:hint="eastAsia" w:ascii="仿宋" w:hAnsi="仿宋" w:eastAsia="仿宋"/>
          <w:color w:val="auto"/>
          <w:sz w:val="32"/>
          <w:szCs w:val="32"/>
          <w:highlight w:val="none"/>
        </w:rPr>
        <w:t>万元，下降</w:t>
      </w:r>
      <w:r>
        <w:rPr>
          <w:rFonts w:hint="eastAsia" w:ascii="仿宋" w:hAnsi="仿宋" w:eastAsia="仿宋"/>
          <w:color w:val="auto"/>
          <w:sz w:val="32"/>
          <w:szCs w:val="32"/>
          <w:highlight w:val="none"/>
          <w:lang w:val="en-US" w:eastAsia="zh-CN"/>
        </w:rPr>
        <w:t>1.97</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r>
        <w:rPr>
          <w:rFonts w:hint="eastAsia" w:ascii="仿宋" w:hAnsi="仿宋" w:eastAsia="仿宋"/>
          <w:color w:val="auto"/>
          <w:sz w:val="32"/>
          <w:szCs w:val="32"/>
        </w:rPr>
        <w:t>主要变动原因是</w:t>
      </w:r>
      <w:r>
        <w:rPr>
          <w:rFonts w:hint="eastAsia" w:ascii="仿宋" w:hAnsi="仿宋" w:eastAsia="仿宋"/>
          <w:color w:val="auto"/>
          <w:sz w:val="32"/>
          <w:szCs w:val="32"/>
          <w:lang w:eastAsia="zh-CN"/>
        </w:rPr>
        <w:t>本年经营收入较上年减少形成。</w:t>
      </w:r>
    </w:p>
    <w:p>
      <w:pPr>
        <w:spacing w:line="600" w:lineRule="exact"/>
        <w:ind w:firstLine="640" w:firstLineChars="200"/>
      </w:pPr>
      <w:r>
        <w:rPr>
          <w:rFonts w:hint="eastAsia" w:ascii="仿宋" w:hAnsi="仿宋" w:eastAsia="仿宋"/>
          <w:color w:val="auto"/>
          <w:sz w:val="32"/>
          <w:szCs w:val="32"/>
          <w:highlight w:val="none"/>
        </w:rPr>
        <w:t>（图</w:t>
      </w:r>
      <w:r>
        <w:rPr>
          <w:rFonts w:ascii="仿宋" w:hAnsi="仿宋" w:eastAsia="仿宋"/>
          <w:color w:val="auto"/>
          <w:sz w:val="32"/>
          <w:szCs w:val="32"/>
          <w:highlight w:val="none"/>
        </w:rPr>
        <w:t>1</w:t>
      </w:r>
      <w:r>
        <w:rPr>
          <w:rFonts w:hint="eastAsia" w:ascii="仿宋" w:hAnsi="仿宋" w:eastAsia="仿宋"/>
          <w:color w:val="auto"/>
          <w:sz w:val="32"/>
          <w:szCs w:val="32"/>
          <w:highlight w:val="none"/>
        </w:rPr>
        <w:t>：收、支决算总计变动情况图）（柱状图）</w:t>
      </w:r>
    </w:p>
    <w:p>
      <w:pPr>
        <w:pStyle w:val="2"/>
      </w:pPr>
      <w:r>
        <w:rPr>
          <w:rFonts w:hint="eastAsia" w:ascii="仿宋_GB2312" w:eastAsia="仿宋_GB2312"/>
          <w:color w:val="auto"/>
          <w:sz w:val="32"/>
          <w:szCs w:val="32"/>
          <w:highlight w:val="none"/>
          <w:lang w:eastAsia="zh-CN"/>
        </w:rPr>
        <w:drawing>
          <wp:anchor distT="0" distB="0" distL="114300" distR="114300" simplePos="0" relativeHeight="251659264" behindDoc="0" locked="0" layoutInCell="1" allowOverlap="1">
            <wp:simplePos x="0" y="0"/>
            <wp:positionH relativeFrom="column">
              <wp:posOffset>488315</wp:posOffset>
            </wp:positionH>
            <wp:positionV relativeFrom="paragraph">
              <wp:posOffset>97155</wp:posOffset>
            </wp:positionV>
            <wp:extent cx="4222750" cy="2520950"/>
            <wp:effectExtent l="4445" t="5080" r="20955" b="7620"/>
            <wp:wrapSquare wrapText="bothSides"/>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anchor>
        </w:drawing>
      </w:r>
    </w:p>
    <w:p>
      <w:pPr>
        <w:spacing w:line="600" w:lineRule="exact"/>
        <w:ind w:firstLine="640" w:firstLineChars="200"/>
        <w:jc w:val="left"/>
        <w:rPr>
          <w:rFonts w:ascii="仿宋_GB2312" w:eastAsia="仿宋_GB2312"/>
          <w:color w:val="auto"/>
          <w:sz w:val="32"/>
          <w:szCs w:val="32"/>
          <w:highlight w:val="none"/>
        </w:rPr>
      </w:pPr>
    </w:p>
    <w:p>
      <w:pPr>
        <w:pStyle w:val="2"/>
        <w:rPr>
          <w:rFonts w:ascii="仿宋_GB2312" w:eastAsia="仿宋_GB2312"/>
          <w:color w:val="auto"/>
          <w:sz w:val="32"/>
          <w:szCs w:val="32"/>
          <w:highlight w:val="none"/>
        </w:rPr>
      </w:pPr>
    </w:p>
    <w:p>
      <w:pPr>
        <w:pStyle w:val="2"/>
        <w:rPr>
          <w:rFonts w:ascii="仿宋_GB2312" w:eastAsia="仿宋_GB2312"/>
          <w:color w:val="auto"/>
          <w:sz w:val="32"/>
          <w:szCs w:val="32"/>
          <w:highlight w:val="none"/>
        </w:rPr>
      </w:pPr>
    </w:p>
    <w:p>
      <w:pPr>
        <w:pStyle w:val="2"/>
        <w:rPr>
          <w:rFonts w:ascii="仿宋_GB2312" w:eastAsia="仿宋_GB2312"/>
          <w:color w:val="auto"/>
          <w:sz w:val="32"/>
          <w:szCs w:val="32"/>
          <w:highlight w:val="none"/>
        </w:rPr>
      </w:pPr>
    </w:p>
    <w:p>
      <w:pPr>
        <w:pStyle w:val="2"/>
        <w:rPr>
          <w:rFonts w:ascii="仿宋_GB2312" w:eastAsia="仿宋_GB2312"/>
          <w:color w:val="auto"/>
          <w:sz w:val="32"/>
          <w:szCs w:val="32"/>
          <w:highlight w:val="none"/>
        </w:rPr>
      </w:pPr>
    </w:p>
    <w:p>
      <w:pPr>
        <w:pStyle w:val="2"/>
        <w:rPr>
          <w:rFonts w:ascii="仿宋_GB2312" w:eastAsia="仿宋_GB2312"/>
          <w:color w:val="auto"/>
          <w:sz w:val="32"/>
          <w:szCs w:val="32"/>
          <w:highlight w:val="none"/>
        </w:rPr>
      </w:pPr>
    </w:p>
    <w:p>
      <w:pPr>
        <w:pStyle w:val="2"/>
        <w:ind w:left="0" w:leftChars="0" w:firstLine="0" w:firstLineChars="0"/>
        <w:rPr>
          <w:rFonts w:hint="eastAsia" w:ascii="仿宋_GB2312" w:eastAsia="仿宋_GB2312"/>
          <w:color w:val="auto"/>
          <w:sz w:val="32"/>
          <w:szCs w:val="32"/>
          <w:highlight w:val="none"/>
          <w:lang w:eastAsia="zh-CN"/>
        </w:rPr>
      </w:pPr>
    </w:p>
    <w:p>
      <w:pPr>
        <w:pStyle w:val="24"/>
        <w:numPr>
          <w:ilvl w:val="0"/>
          <w:numId w:val="0"/>
        </w:numPr>
        <w:spacing w:line="600" w:lineRule="exact"/>
        <w:ind w:firstLine="640" w:firstLineChars="200"/>
        <w:outlineLvl w:val="1"/>
        <w:rPr>
          <w:rStyle w:val="26"/>
          <w:rFonts w:ascii="黑体" w:hAnsi="黑体" w:eastAsia="黑体"/>
          <w:b w:val="0"/>
          <w:color w:val="auto"/>
          <w:highlight w:val="none"/>
        </w:rPr>
      </w:pPr>
      <w:bookmarkStart w:id="20" w:name="_Toc15377206"/>
      <w:bookmarkStart w:id="21" w:name="_Toc15396604"/>
      <w:r>
        <w:rPr>
          <w:rFonts w:hint="eastAsia" w:ascii="黑体" w:hAnsi="黑体" w:eastAsia="黑体"/>
          <w:color w:val="auto"/>
          <w:sz w:val="32"/>
          <w:szCs w:val="32"/>
          <w:highlight w:val="none"/>
          <w:lang w:eastAsia="zh-CN"/>
        </w:rPr>
        <w:t>二</w:t>
      </w:r>
      <w:r>
        <w:rPr>
          <w:rFonts w:hint="eastAsia" w:ascii="黑体" w:hAnsi="黑体" w:eastAsia="黑体"/>
          <w:color w:val="auto"/>
          <w:sz w:val="32"/>
          <w:szCs w:val="32"/>
          <w:highlight w:val="none"/>
          <w:lang w:val="en-US" w:eastAsia="zh-CN"/>
        </w:rPr>
        <w:t>.</w:t>
      </w:r>
      <w:r>
        <w:rPr>
          <w:rFonts w:hint="eastAsia" w:ascii="黑体" w:hAnsi="黑体" w:eastAsia="黑体"/>
          <w:color w:val="auto"/>
          <w:sz w:val="32"/>
          <w:szCs w:val="32"/>
          <w:highlight w:val="none"/>
        </w:rPr>
        <w:t>收</w:t>
      </w:r>
      <w:r>
        <w:rPr>
          <w:rStyle w:val="26"/>
          <w:rFonts w:hint="eastAsia" w:ascii="黑体" w:hAnsi="黑体" w:eastAsia="黑体"/>
          <w:b w:val="0"/>
          <w:color w:val="auto"/>
          <w:highlight w:val="none"/>
        </w:rPr>
        <w:t>入决算情况说明</w:t>
      </w:r>
      <w:bookmarkEnd w:id="20"/>
      <w:bookmarkEnd w:id="21"/>
    </w:p>
    <w:p>
      <w:pPr>
        <w:spacing w:line="600" w:lineRule="exact"/>
        <w:ind w:firstLine="640" w:firstLineChars="200"/>
        <w:outlineLvl w:val="1"/>
        <w:rPr>
          <w:rFonts w:ascii="仿宋" w:hAnsi="仿宋" w:eastAsia="仿宋"/>
          <w:color w:val="auto"/>
          <w:sz w:val="32"/>
          <w:szCs w:val="32"/>
          <w:highlight w:val="none"/>
        </w:rPr>
      </w:pPr>
      <w:r>
        <w:rPr>
          <w:rFonts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21</w:t>
      </w:r>
      <w:r>
        <w:rPr>
          <w:rFonts w:hint="eastAsia" w:ascii="仿宋" w:hAnsi="仿宋" w:eastAsia="仿宋"/>
          <w:color w:val="auto"/>
          <w:sz w:val="32"/>
          <w:szCs w:val="32"/>
          <w:highlight w:val="none"/>
        </w:rPr>
        <w:t>年本年收入合计</w:t>
      </w:r>
      <w:r>
        <w:rPr>
          <w:rFonts w:hint="eastAsia" w:ascii="仿宋" w:hAnsi="仿宋" w:eastAsia="仿宋"/>
          <w:color w:val="auto"/>
          <w:sz w:val="32"/>
          <w:szCs w:val="32"/>
          <w:highlight w:val="none"/>
          <w:lang w:val="en-US" w:eastAsia="zh-CN"/>
        </w:rPr>
        <w:t>29269.58</w:t>
      </w:r>
      <w:r>
        <w:rPr>
          <w:rFonts w:hint="eastAsia" w:ascii="仿宋" w:hAnsi="仿宋" w:eastAsia="仿宋"/>
          <w:color w:val="auto"/>
          <w:sz w:val="32"/>
          <w:szCs w:val="32"/>
          <w:highlight w:val="none"/>
        </w:rPr>
        <w:t>万元，其中：一般公共预算财政拨款收入</w:t>
      </w:r>
      <w:r>
        <w:rPr>
          <w:rFonts w:hint="eastAsia" w:ascii="仿宋" w:hAnsi="仿宋" w:eastAsia="仿宋"/>
          <w:color w:val="auto"/>
          <w:sz w:val="32"/>
          <w:szCs w:val="32"/>
          <w:highlight w:val="none"/>
          <w:lang w:val="en-US" w:eastAsia="zh-CN"/>
        </w:rPr>
        <w:t>5545.01</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18.94</w:t>
      </w:r>
      <w:r>
        <w:rPr>
          <w:rFonts w:ascii="仿宋" w:hAnsi="仿宋" w:eastAsia="仿宋"/>
          <w:color w:val="auto"/>
          <w:sz w:val="32"/>
          <w:szCs w:val="32"/>
          <w:highlight w:val="none"/>
        </w:rPr>
        <w:t>%</w:t>
      </w:r>
      <w:r>
        <w:rPr>
          <w:rFonts w:hint="eastAsia" w:ascii="仿宋" w:hAnsi="仿宋" w:eastAsia="仿宋"/>
          <w:color w:val="auto"/>
          <w:sz w:val="32"/>
          <w:szCs w:val="32"/>
          <w:highlight w:val="none"/>
        </w:rPr>
        <w:t>；政府性基金预算财政拨款收入</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r>
        <w:rPr>
          <w:rFonts w:hint="eastAsia" w:ascii="仿宋" w:hAnsi="仿宋" w:eastAsia="仿宋"/>
          <w:color w:val="auto"/>
          <w:sz w:val="32"/>
          <w:szCs w:val="32"/>
          <w:highlight w:val="none"/>
          <w:lang w:eastAsia="zh-CN"/>
        </w:rPr>
        <w:t>国有资本经营预算财政拨款收入</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；上级补助收入</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；事业收入</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；经营收入</w:t>
      </w:r>
      <w:r>
        <w:rPr>
          <w:rFonts w:hint="eastAsia" w:ascii="仿宋" w:hAnsi="仿宋" w:eastAsia="仿宋"/>
          <w:color w:val="auto"/>
          <w:sz w:val="32"/>
          <w:szCs w:val="32"/>
          <w:highlight w:val="none"/>
          <w:lang w:val="en-US" w:eastAsia="zh-CN"/>
        </w:rPr>
        <w:t>473.19</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1.62</w:t>
      </w:r>
      <w:r>
        <w:rPr>
          <w:rFonts w:ascii="仿宋" w:hAnsi="仿宋" w:eastAsia="仿宋"/>
          <w:color w:val="auto"/>
          <w:sz w:val="32"/>
          <w:szCs w:val="32"/>
          <w:highlight w:val="none"/>
        </w:rPr>
        <w:t>%</w:t>
      </w:r>
      <w:r>
        <w:rPr>
          <w:rFonts w:hint="eastAsia" w:ascii="仿宋" w:hAnsi="仿宋" w:eastAsia="仿宋"/>
          <w:color w:val="auto"/>
          <w:sz w:val="32"/>
          <w:szCs w:val="32"/>
          <w:highlight w:val="none"/>
        </w:rPr>
        <w:t>；附属单位上缴收入</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；其他收入</w:t>
      </w:r>
      <w:r>
        <w:rPr>
          <w:rFonts w:hint="eastAsia" w:ascii="仿宋" w:hAnsi="仿宋" w:eastAsia="仿宋"/>
          <w:color w:val="auto"/>
          <w:sz w:val="32"/>
          <w:szCs w:val="32"/>
          <w:highlight w:val="none"/>
          <w:lang w:val="en-US" w:eastAsia="zh-CN"/>
        </w:rPr>
        <w:t>23251.38</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79.44</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p>
    <w:p>
      <w:pPr>
        <w:spacing w:line="600" w:lineRule="exact"/>
        <w:ind w:firstLine="640" w:firstLineChars="200"/>
        <w:rPr>
          <w:rFonts w:hint="eastAsia" w:ascii="仿宋" w:hAnsi="仿宋" w:eastAsia="仿宋"/>
          <w:color w:val="auto"/>
          <w:sz w:val="32"/>
          <w:szCs w:val="32"/>
          <w:highlight w:val="none"/>
        </w:rPr>
      </w:pPr>
    </w:p>
    <w:p>
      <w:pPr>
        <w:spacing w:line="600" w:lineRule="exact"/>
        <w:ind w:firstLine="640" w:firstLineChars="200"/>
        <w:rPr>
          <w:rFonts w:hint="eastAsia" w:ascii="黑体" w:hAnsi="黑体" w:eastAsia="黑体"/>
          <w:color w:val="auto"/>
          <w:sz w:val="32"/>
          <w:szCs w:val="32"/>
          <w:highlight w:val="none"/>
          <w:lang w:eastAsia="zh-CN"/>
        </w:rPr>
      </w:pPr>
      <w:r>
        <w:rPr>
          <w:rFonts w:hint="eastAsia" w:ascii="仿宋" w:hAnsi="仿宋" w:eastAsia="仿宋"/>
          <w:color w:val="auto"/>
          <w:sz w:val="32"/>
          <w:szCs w:val="32"/>
          <w:highlight w:val="none"/>
        </w:rPr>
        <w:t>（图2：收入决算结构图）（饼状图）</w:t>
      </w:r>
      <w:r>
        <w:rPr>
          <w:rFonts w:hint="eastAsia" w:eastAsia="宋体"/>
          <w:lang w:eastAsia="zh-CN"/>
        </w:rPr>
        <w:drawing>
          <wp:anchor distT="0" distB="0" distL="114300" distR="114300" simplePos="0" relativeHeight="251660288" behindDoc="0" locked="0" layoutInCell="1" allowOverlap="1">
            <wp:simplePos x="0" y="0"/>
            <wp:positionH relativeFrom="column">
              <wp:posOffset>570865</wp:posOffset>
            </wp:positionH>
            <wp:positionV relativeFrom="paragraph">
              <wp:posOffset>42545</wp:posOffset>
            </wp:positionV>
            <wp:extent cx="4001135" cy="2414270"/>
            <wp:effectExtent l="4445" t="4445" r="13970" b="19685"/>
            <wp:wrapTopAndBottom/>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bookmarkStart w:id="22" w:name="_Toc15377207"/>
      <w:bookmarkStart w:id="23" w:name="_Toc15396605"/>
    </w:p>
    <w:p>
      <w:pPr>
        <w:spacing w:line="600" w:lineRule="exact"/>
        <w:ind w:firstLine="640" w:firstLineChars="200"/>
        <w:rPr>
          <w:rStyle w:val="26"/>
          <w:rFonts w:ascii="黑体" w:hAnsi="黑体" w:eastAsia="黑体"/>
          <w:b w:val="0"/>
          <w:color w:val="auto"/>
          <w:highlight w:val="none"/>
        </w:rPr>
      </w:pPr>
      <w:r>
        <w:rPr>
          <w:rFonts w:hint="eastAsia" w:ascii="黑体" w:hAnsi="黑体" w:eastAsia="黑体"/>
          <w:color w:val="auto"/>
          <w:sz w:val="32"/>
          <w:szCs w:val="32"/>
          <w:highlight w:val="none"/>
          <w:lang w:eastAsia="zh-CN"/>
        </w:rPr>
        <w:t>三</w:t>
      </w:r>
      <w:r>
        <w:rPr>
          <w:rFonts w:hint="eastAsia" w:ascii="黑体" w:hAnsi="黑体" w:eastAsia="黑体"/>
          <w:color w:val="auto"/>
          <w:sz w:val="32"/>
          <w:szCs w:val="32"/>
          <w:highlight w:val="none"/>
          <w:lang w:val="en-US" w:eastAsia="zh-CN"/>
        </w:rPr>
        <w:t>.</w:t>
      </w:r>
      <w:r>
        <w:rPr>
          <w:rFonts w:hint="eastAsia" w:ascii="黑体" w:hAnsi="黑体" w:eastAsia="黑体"/>
          <w:color w:val="auto"/>
          <w:sz w:val="32"/>
          <w:szCs w:val="32"/>
          <w:highlight w:val="none"/>
        </w:rPr>
        <w:t>支</w:t>
      </w:r>
      <w:r>
        <w:rPr>
          <w:rStyle w:val="26"/>
          <w:rFonts w:hint="eastAsia" w:ascii="黑体" w:hAnsi="黑体" w:eastAsia="黑体"/>
          <w:b w:val="0"/>
          <w:color w:val="auto"/>
          <w:highlight w:val="none"/>
        </w:rPr>
        <w:t>出决算情况说明</w:t>
      </w:r>
      <w:bookmarkEnd w:id="22"/>
      <w:bookmarkEnd w:id="23"/>
    </w:p>
    <w:p>
      <w:pPr>
        <w:spacing w:line="600" w:lineRule="exact"/>
        <w:ind w:firstLine="640" w:firstLineChars="200"/>
        <w:outlineLvl w:val="1"/>
        <w:rPr>
          <w:rFonts w:ascii="仿宋" w:hAnsi="仿宋" w:eastAsia="仿宋"/>
          <w:color w:val="auto"/>
          <w:sz w:val="32"/>
          <w:szCs w:val="32"/>
          <w:highlight w:val="none"/>
        </w:rPr>
      </w:pPr>
      <w:r>
        <w:rPr>
          <w:rFonts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21</w:t>
      </w:r>
      <w:r>
        <w:rPr>
          <w:rFonts w:hint="eastAsia" w:ascii="仿宋" w:hAnsi="仿宋" w:eastAsia="仿宋"/>
          <w:color w:val="auto"/>
          <w:sz w:val="32"/>
          <w:szCs w:val="32"/>
          <w:highlight w:val="none"/>
        </w:rPr>
        <w:t>年本年支出合计</w:t>
      </w:r>
      <w:r>
        <w:rPr>
          <w:rFonts w:hint="eastAsia" w:ascii="仿宋" w:hAnsi="仿宋" w:eastAsia="仿宋"/>
          <w:color w:val="auto"/>
          <w:sz w:val="32"/>
          <w:szCs w:val="32"/>
          <w:highlight w:val="none"/>
          <w:lang w:val="en-US" w:eastAsia="zh-CN"/>
        </w:rPr>
        <w:t>25359.64</w:t>
      </w:r>
      <w:r>
        <w:rPr>
          <w:rFonts w:hint="eastAsia" w:ascii="仿宋" w:hAnsi="仿宋" w:eastAsia="仿宋"/>
          <w:color w:val="auto"/>
          <w:sz w:val="32"/>
          <w:szCs w:val="32"/>
          <w:highlight w:val="none"/>
        </w:rPr>
        <w:t>万元，其中：基本支出</w:t>
      </w:r>
      <w:r>
        <w:rPr>
          <w:rFonts w:hint="eastAsia" w:ascii="仿宋" w:hAnsi="仿宋" w:eastAsia="仿宋"/>
          <w:color w:val="auto"/>
          <w:sz w:val="32"/>
          <w:szCs w:val="32"/>
          <w:highlight w:val="none"/>
          <w:lang w:val="en-US" w:eastAsia="zh-CN"/>
        </w:rPr>
        <w:t>6407.83</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25.27</w:t>
      </w:r>
      <w:r>
        <w:rPr>
          <w:rFonts w:ascii="仿宋" w:hAnsi="仿宋" w:eastAsia="仿宋"/>
          <w:color w:val="auto"/>
          <w:sz w:val="32"/>
          <w:szCs w:val="32"/>
          <w:highlight w:val="none"/>
        </w:rPr>
        <w:t>%</w:t>
      </w:r>
      <w:r>
        <w:rPr>
          <w:rFonts w:hint="eastAsia" w:ascii="仿宋" w:hAnsi="仿宋" w:eastAsia="仿宋"/>
          <w:color w:val="auto"/>
          <w:sz w:val="32"/>
          <w:szCs w:val="32"/>
          <w:highlight w:val="none"/>
        </w:rPr>
        <w:t>；项目支出</w:t>
      </w:r>
      <w:r>
        <w:rPr>
          <w:rFonts w:hint="eastAsia" w:ascii="仿宋" w:hAnsi="仿宋" w:eastAsia="仿宋"/>
          <w:color w:val="auto"/>
          <w:sz w:val="32"/>
          <w:szCs w:val="32"/>
          <w:highlight w:val="none"/>
          <w:lang w:val="en-US" w:eastAsia="zh-CN"/>
        </w:rPr>
        <w:t>18489.81</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72.91</w:t>
      </w:r>
      <w:r>
        <w:rPr>
          <w:rFonts w:ascii="仿宋" w:hAnsi="仿宋" w:eastAsia="仿宋"/>
          <w:color w:val="auto"/>
          <w:sz w:val="32"/>
          <w:szCs w:val="32"/>
          <w:highlight w:val="none"/>
        </w:rPr>
        <w:t>%</w:t>
      </w:r>
      <w:r>
        <w:rPr>
          <w:rFonts w:hint="eastAsia" w:ascii="仿宋" w:hAnsi="仿宋" w:eastAsia="仿宋"/>
          <w:color w:val="auto"/>
          <w:sz w:val="32"/>
          <w:szCs w:val="32"/>
          <w:highlight w:val="none"/>
        </w:rPr>
        <w:t>；上缴上级支出</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；经营支出</w:t>
      </w:r>
      <w:r>
        <w:rPr>
          <w:rFonts w:hint="eastAsia" w:ascii="仿宋" w:hAnsi="仿宋" w:eastAsia="仿宋"/>
          <w:color w:val="auto"/>
          <w:sz w:val="32"/>
          <w:szCs w:val="32"/>
          <w:highlight w:val="none"/>
          <w:lang w:val="en-US" w:eastAsia="zh-CN"/>
        </w:rPr>
        <w:t>462</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1.82</w:t>
      </w:r>
      <w:r>
        <w:rPr>
          <w:rFonts w:ascii="仿宋" w:hAnsi="仿宋" w:eastAsia="仿宋"/>
          <w:color w:val="auto"/>
          <w:sz w:val="32"/>
          <w:szCs w:val="32"/>
          <w:highlight w:val="none"/>
        </w:rPr>
        <w:t>%</w:t>
      </w:r>
      <w:r>
        <w:rPr>
          <w:rFonts w:hint="eastAsia" w:ascii="仿宋" w:hAnsi="仿宋" w:eastAsia="仿宋"/>
          <w:color w:val="auto"/>
          <w:sz w:val="32"/>
          <w:szCs w:val="32"/>
          <w:highlight w:val="none"/>
        </w:rPr>
        <w:t>；对附属单位补助支出</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p>
    <w:p>
      <w:pPr>
        <w:spacing w:line="600" w:lineRule="exact"/>
        <w:ind w:firstLine="640" w:firstLineChars="200"/>
        <w:rPr>
          <w:rFonts w:hint="eastAsia" w:ascii="仿宋" w:hAnsi="仿宋" w:eastAsia="仿宋"/>
          <w:color w:val="auto"/>
          <w:sz w:val="32"/>
          <w:szCs w:val="32"/>
          <w:highlight w:val="none"/>
        </w:rPr>
      </w:pPr>
      <w:r>
        <w:rPr>
          <w:rFonts w:hint="eastAsia" w:ascii="仿宋" w:hAnsi="仿宋" w:eastAsia="仿宋"/>
          <w:color w:val="auto"/>
          <w:sz w:val="32"/>
          <w:szCs w:val="32"/>
          <w:highlight w:val="none"/>
        </w:rPr>
        <w:t>（图3：支出决算结构图）（饼状图）</w:t>
      </w:r>
    </w:p>
    <w:p>
      <w:pPr>
        <w:pStyle w:val="2"/>
        <w:rPr>
          <w:rStyle w:val="26"/>
          <w:rFonts w:hint="eastAsia" w:ascii="黑体" w:hAnsi="黑体" w:eastAsia="黑体"/>
          <w:b w:val="0"/>
          <w:color w:val="auto"/>
          <w:highlight w:val="none"/>
        </w:rPr>
      </w:pPr>
      <w:r>
        <w:rPr>
          <w:rFonts w:hint="eastAsia" w:eastAsia="仿宋"/>
          <w:lang w:eastAsia="zh-CN"/>
        </w:rPr>
        <w:drawing>
          <wp:anchor distT="0" distB="0" distL="114300" distR="114300" simplePos="0" relativeHeight="251661312" behindDoc="0" locked="0" layoutInCell="1" allowOverlap="1">
            <wp:simplePos x="0" y="0"/>
            <wp:positionH relativeFrom="column">
              <wp:posOffset>297815</wp:posOffset>
            </wp:positionH>
            <wp:positionV relativeFrom="paragraph">
              <wp:posOffset>145415</wp:posOffset>
            </wp:positionV>
            <wp:extent cx="4458335" cy="2249170"/>
            <wp:effectExtent l="4445" t="4445" r="13970" b="13335"/>
            <wp:wrapTopAndBottom/>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bookmarkStart w:id="24" w:name="_Toc15396606"/>
      <w:bookmarkStart w:id="25" w:name="_Toc15377208"/>
      <w:r>
        <w:rPr>
          <w:rFonts w:hint="eastAsia" w:ascii="黑体" w:hAnsi="黑体" w:eastAsia="黑体"/>
          <w:color w:val="auto"/>
          <w:sz w:val="32"/>
          <w:szCs w:val="32"/>
          <w:highlight w:val="none"/>
        </w:rPr>
        <w:t>四</w:t>
      </w:r>
      <w:r>
        <w:rPr>
          <w:rFonts w:hint="eastAsia" w:ascii="黑体" w:hAnsi="黑体" w:eastAsia="黑体"/>
          <w:color w:val="auto"/>
          <w:sz w:val="32"/>
          <w:szCs w:val="32"/>
          <w:highlight w:val="none"/>
          <w:lang w:val="en-US" w:eastAsia="zh-CN"/>
        </w:rPr>
        <w:t>.</w:t>
      </w:r>
      <w:r>
        <w:rPr>
          <w:rFonts w:hint="eastAsia" w:ascii="黑体" w:hAnsi="黑体" w:eastAsia="黑体"/>
          <w:color w:val="auto"/>
          <w:sz w:val="32"/>
          <w:szCs w:val="32"/>
          <w:highlight w:val="none"/>
        </w:rPr>
        <w:t>财</w:t>
      </w:r>
      <w:r>
        <w:rPr>
          <w:rStyle w:val="26"/>
          <w:rFonts w:hint="eastAsia" w:ascii="黑体" w:hAnsi="黑体" w:eastAsia="黑体"/>
          <w:b w:val="0"/>
          <w:color w:val="auto"/>
          <w:highlight w:val="none"/>
        </w:rPr>
        <w:t>政拨款收入支出决算总体情况说明</w:t>
      </w:r>
      <w:bookmarkEnd w:id="24"/>
      <w:bookmarkEnd w:id="25"/>
    </w:p>
    <w:p>
      <w:pPr>
        <w:spacing w:line="600" w:lineRule="exact"/>
        <w:ind w:firstLine="640" w:firstLineChars="200"/>
        <w:rPr>
          <w:rFonts w:hint="eastAsia" w:ascii="仿宋" w:hAnsi="仿宋" w:eastAsia="仿宋"/>
          <w:color w:val="auto"/>
          <w:sz w:val="32"/>
          <w:szCs w:val="32"/>
          <w:highlight w:val="none"/>
          <w:lang w:eastAsia="zh-CN"/>
        </w:rPr>
      </w:pPr>
      <w:r>
        <w:rPr>
          <w:rFonts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21</w:t>
      </w:r>
      <w:r>
        <w:rPr>
          <w:rFonts w:hint="eastAsia" w:ascii="仿宋" w:hAnsi="仿宋" w:eastAsia="仿宋"/>
          <w:color w:val="auto"/>
          <w:sz w:val="32"/>
          <w:szCs w:val="32"/>
          <w:highlight w:val="none"/>
        </w:rPr>
        <w:t>年财政拨款收、支总计</w:t>
      </w:r>
      <w:r>
        <w:rPr>
          <w:rFonts w:hint="eastAsia" w:ascii="仿宋" w:hAnsi="仿宋" w:eastAsia="仿宋"/>
          <w:color w:val="auto"/>
          <w:sz w:val="32"/>
          <w:szCs w:val="32"/>
          <w:highlight w:val="none"/>
          <w:lang w:val="en-US" w:eastAsia="zh-CN"/>
        </w:rPr>
        <w:t>5545.01</w:t>
      </w:r>
      <w:r>
        <w:rPr>
          <w:rFonts w:hint="eastAsia" w:ascii="仿宋" w:hAnsi="仿宋" w:eastAsia="仿宋"/>
          <w:color w:val="auto"/>
          <w:sz w:val="32"/>
          <w:szCs w:val="32"/>
          <w:highlight w:val="none"/>
        </w:rPr>
        <w:t>万元。与</w:t>
      </w:r>
      <w:r>
        <w:rPr>
          <w:rFonts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20</w:t>
      </w:r>
      <w:r>
        <w:rPr>
          <w:rFonts w:hint="eastAsia" w:ascii="仿宋" w:hAnsi="仿宋" w:eastAsia="仿宋"/>
          <w:color w:val="auto"/>
          <w:sz w:val="32"/>
          <w:szCs w:val="32"/>
          <w:highlight w:val="none"/>
        </w:rPr>
        <w:t>年相比，财政拨款收、支总计各增加</w:t>
      </w:r>
      <w:r>
        <w:rPr>
          <w:rFonts w:hint="eastAsia" w:ascii="仿宋" w:hAnsi="仿宋" w:eastAsia="仿宋"/>
          <w:color w:val="auto"/>
          <w:sz w:val="32"/>
          <w:szCs w:val="32"/>
          <w:highlight w:val="none"/>
          <w:lang w:val="en-US" w:eastAsia="zh-CN"/>
        </w:rPr>
        <w:t>75.79</w:t>
      </w:r>
      <w:r>
        <w:rPr>
          <w:rFonts w:hint="eastAsia" w:ascii="仿宋" w:hAnsi="仿宋" w:eastAsia="仿宋"/>
          <w:color w:val="auto"/>
          <w:sz w:val="32"/>
          <w:szCs w:val="32"/>
          <w:highlight w:val="none"/>
        </w:rPr>
        <w:t>万元，增长</w:t>
      </w:r>
      <w:r>
        <w:rPr>
          <w:rFonts w:hint="eastAsia" w:ascii="仿宋" w:hAnsi="仿宋" w:eastAsia="仿宋"/>
          <w:color w:val="auto"/>
          <w:sz w:val="32"/>
          <w:szCs w:val="32"/>
          <w:highlight w:val="none"/>
          <w:lang w:val="en-US" w:eastAsia="zh-CN"/>
        </w:rPr>
        <w:t>1.39</w:t>
      </w:r>
      <w:r>
        <w:rPr>
          <w:rFonts w:ascii="仿宋" w:hAnsi="仿宋" w:eastAsia="仿宋"/>
          <w:color w:val="auto"/>
          <w:sz w:val="32"/>
          <w:szCs w:val="32"/>
          <w:highlight w:val="none"/>
        </w:rPr>
        <w:t>%</w:t>
      </w:r>
      <w:r>
        <w:rPr>
          <w:rFonts w:hint="eastAsia" w:ascii="仿宋" w:hAnsi="仿宋" w:eastAsia="仿宋"/>
          <w:color w:val="auto"/>
          <w:sz w:val="32"/>
          <w:szCs w:val="32"/>
          <w:highlight w:val="none"/>
        </w:rPr>
        <w:t>。主要变动原因是</w:t>
      </w:r>
      <w:r>
        <w:rPr>
          <w:rFonts w:hint="eastAsia" w:ascii="仿宋" w:hAnsi="仿宋" w:eastAsia="仿宋"/>
          <w:color w:val="auto"/>
          <w:sz w:val="32"/>
          <w:szCs w:val="32"/>
          <w:highlight w:val="none"/>
          <w:lang w:eastAsia="zh-CN"/>
        </w:rPr>
        <w:t>退休人员一次性生活补贴增加引起。</w:t>
      </w:r>
    </w:p>
    <w:p>
      <w:pPr>
        <w:spacing w:line="600" w:lineRule="exact"/>
        <w:ind w:firstLine="640" w:firstLineChars="200"/>
        <w:rPr>
          <w:rFonts w:hint="eastAsia" w:ascii="仿宋" w:hAnsi="仿宋" w:eastAsia="仿宋"/>
          <w:color w:val="auto"/>
          <w:sz w:val="32"/>
          <w:szCs w:val="32"/>
          <w:highlight w:val="none"/>
        </w:rPr>
      </w:pPr>
      <w:r>
        <w:rPr>
          <w:rFonts w:hint="eastAsia" w:ascii="仿宋" w:hAnsi="仿宋" w:eastAsia="仿宋"/>
          <w:color w:val="auto"/>
          <w:sz w:val="32"/>
          <w:szCs w:val="32"/>
          <w:highlight w:val="none"/>
        </w:rPr>
        <w:t>（图4：财政拨款收、支决算总计变动情况）（柱状图）</w:t>
      </w:r>
    </w:p>
    <w:p>
      <w:pPr>
        <w:pStyle w:val="2"/>
        <w:rPr>
          <w:rFonts w:hint="eastAsia" w:ascii="仿宋" w:hAnsi="仿宋" w:eastAsia="仿宋"/>
          <w:b/>
          <w:color w:val="auto"/>
          <w:sz w:val="32"/>
          <w:szCs w:val="32"/>
          <w:highlight w:val="none"/>
        </w:rPr>
      </w:pPr>
      <w:r>
        <w:rPr>
          <w:rFonts w:hint="eastAsia" w:eastAsia="宋体"/>
          <w:lang w:eastAsia="zh-CN"/>
        </w:rPr>
        <w:drawing>
          <wp:anchor distT="0" distB="0" distL="114300" distR="114300" simplePos="0" relativeHeight="251662336" behindDoc="0" locked="0" layoutInCell="1" allowOverlap="1">
            <wp:simplePos x="0" y="0"/>
            <wp:positionH relativeFrom="column">
              <wp:posOffset>554990</wp:posOffset>
            </wp:positionH>
            <wp:positionV relativeFrom="paragraph">
              <wp:posOffset>46355</wp:posOffset>
            </wp:positionV>
            <wp:extent cx="3969385" cy="2444750"/>
            <wp:effectExtent l="4445" t="4445" r="7620" b="825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bookmarkStart w:id="26" w:name="_Toc15377210"/>
      <w:r>
        <w:rPr>
          <w:rFonts w:hint="eastAsia" w:ascii="黑体" w:hAnsi="黑体" w:eastAsia="黑体"/>
          <w:color w:val="auto"/>
          <w:sz w:val="32"/>
          <w:szCs w:val="32"/>
        </w:rPr>
        <w:t>五</w:t>
      </w:r>
      <w:r>
        <w:rPr>
          <w:rFonts w:hint="eastAsia" w:ascii="黑体" w:hAnsi="黑体" w:eastAsia="黑体"/>
          <w:color w:val="auto"/>
          <w:sz w:val="32"/>
          <w:szCs w:val="32"/>
          <w:lang w:val="en-US" w:eastAsia="zh-CN"/>
        </w:rPr>
        <w:t>.</w:t>
      </w:r>
      <w:r>
        <w:rPr>
          <w:rFonts w:hint="eastAsia" w:ascii="黑体" w:hAnsi="黑体" w:eastAsia="黑体"/>
          <w:b/>
          <w:color w:val="auto"/>
          <w:sz w:val="32"/>
          <w:szCs w:val="32"/>
        </w:rPr>
        <w:t>一</w:t>
      </w:r>
      <w:r>
        <w:rPr>
          <w:rStyle w:val="26"/>
          <w:rFonts w:hint="eastAsia" w:ascii="黑体" w:hAnsi="黑体" w:eastAsia="黑体"/>
          <w:b w:val="0"/>
          <w:color w:val="auto"/>
        </w:rPr>
        <w:t>般公共预算财政拨款支出决算情况说明</w:t>
      </w:r>
    </w:p>
    <w:p>
      <w:pPr>
        <w:spacing w:line="600" w:lineRule="exact"/>
        <w:ind w:firstLine="643" w:firstLineChars="200"/>
        <w:outlineLvl w:val="2"/>
        <w:rPr>
          <w:rFonts w:ascii="仿宋" w:hAnsi="仿宋" w:eastAsia="仿宋"/>
          <w:b/>
          <w:color w:val="auto"/>
          <w:sz w:val="32"/>
          <w:szCs w:val="32"/>
          <w:highlight w:val="none"/>
        </w:rPr>
      </w:pPr>
      <w:r>
        <w:rPr>
          <w:rFonts w:hint="eastAsia" w:ascii="仿宋" w:hAnsi="仿宋" w:eastAsia="仿宋"/>
          <w:b/>
          <w:color w:val="auto"/>
          <w:sz w:val="32"/>
          <w:szCs w:val="32"/>
          <w:highlight w:val="none"/>
        </w:rPr>
        <w:t>（一）一般公共预算财政拨款支出决算总体情况</w:t>
      </w:r>
      <w:bookmarkEnd w:id="26"/>
    </w:p>
    <w:p>
      <w:pPr>
        <w:spacing w:line="600" w:lineRule="exact"/>
        <w:ind w:firstLine="640" w:firstLineChars="200"/>
        <w:rPr>
          <w:rFonts w:hint="eastAsia" w:ascii="仿宋" w:hAnsi="仿宋" w:eastAsia="仿宋"/>
          <w:color w:val="auto"/>
          <w:sz w:val="32"/>
          <w:szCs w:val="32"/>
          <w:highlight w:val="none"/>
        </w:rPr>
      </w:pPr>
      <w:r>
        <w:rPr>
          <w:rFonts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21</w:t>
      </w:r>
      <w:r>
        <w:rPr>
          <w:rFonts w:hint="eastAsia" w:ascii="仿宋" w:hAnsi="仿宋" w:eastAsia="仿宋"/>
          <w:color w:val="auto"/>
          <w:sz w:val="32"/>
          <w:szCs w:val="32"/>
          <w:highlight w:val="none"/>
        </w:rPr>
        <w:t>年一般公共预算财政拨款支出</w:t>
      </w:r>
      <w:r>
        <w:rPr>
          <w:rFonts w:hint="eastAsia" w:ascii="仿宋" w:hAnsi="仿宋" w:eastAsia="仿宋"/>
          <w:color w:val="auto"/>
          <w:sz w:val="32"/>
          <w:szCs w:val="32"/>
          <w:highlight w:val="none"/>
          <w:lang w:val="en-US" w:eastAsia="zh-CN"/>
        </w:rPr>
        <w:t>5545.01</w:t>
      </w:r>
      <w:r>
        <w:rPr>
          <w:rFonts w:hint="eastAsia" w:ascii="仿宋" w:hAnsi="仿宋" w:eastAsia="仿宋"/>
          <w:color w:val="auto"/>
          <w:sz w:val="32"/>
          <w:szCs w:val="32"/>
          <w:highlight w:val="none"/>
        </w:rPr>
        <w:t>万元，占本年支出合计的</w:t>
      </w:r>
      <w:r>
        <w:rPr>
          <w:rFonts w:hint="eastAsia" w:ascii="仿宋" w:hAnsi="仿宋" w:eastAsia="仿宋"/>
          <w:color w:val="auto"/>
          <w:sz w:val="32"/>
          <w:szCs w:val="32"/>
          <w:highlight w:val="none"/>
          <w:lang w:val="en-US" w:eastAsia="zh-CN"/>
        </w:rPr>
        <w:t>21.87</w:t>
      </w:r>
      <w:r>
        <w:rPr>
          <w:rFonts w:ascii="仿宋" w:hAnsi="仿宋" w:eastAsia="仿宋"/>
          <w:color w:val="auto"/>
          <w:sz w:val="32"/>
          <w:szCs w:val="32"/>
          <w:highlight w:val="none"/>
        </w:rPr>
        <w:t>%</w:t>
      </w:r>
      <w:r>
        <w:rPr>
          <w:rFonts w:hint="eastAsia" w:ascii="仿宋" w:hAnsi="仿宋" w:eastAsia="仿宋"/>
          <w:color w:val="auto"/>
          <w:sz w:val="32"/>
          <w:szCs w:val="32"/>
          <w:highlight w:val="none"/>
        </w:rPr>
        <w:t>。与</w:t>
      </w:r>
      <w:r>
        <w:rPr>
          <w:rFonts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20</w:t>
      </w:r>
      <w:r>
        <w:rPr>
          <w:rFonts w:hint="eastAsia" w:ascii="仿宋" w:hAnsi="仿宋" w:eastAsia="仿宋"/>
          <w:color w:val="auto"/>
          <w:sz w:val="32"/>
          <w:szCs w:val="32"/>
          <w:highlight w:val="none"/>
        </w:rPr>
        <w:t>年相比，一般公共预算财政拨款</w:t>
      </w:r>
      <w:r>
        <w:rPr>
          <w:rFonts w:hint="eastAsia" w:ascii="仿宋" w:hAnsi="仿宋" w:eastAsia="仿宋"/>
          <w:color w:val="auto"/>
          <w:sz w:val="32"/>
          <w:szCs w:val="32"/>
          <w:highlight w:val="none"/>
          <w:lang w:eastAsia="zh-CN"/>
        </w:rPr>
        <w:t>支出</w:t>
      </w:r>
      <w:r>
        <w:rPr>
          <w:rFonts w:hint="eastAsia" w:ascii="仿宋" w:hAnsi="仿宋" w:eastAsia="仿宋"/>
          <w:color w:val="auto"/>
          <w:sz w:val="32"/>
          <w:szCs w:val="32"/>
          <w:highlight w:val="none"/>
        </w:rPr>
        <w:t>增加</w:t>
      </w:r>
      <w:r>
        <w:rPr>
          <w:rFonts w:hint="eastAsia" w:ascii="仿宋" w:hAnsi="仿宋" w:eastAsia="仿宋"/>
          <w:color w:val="auto"/>
          <w:sz w:val="32"/>
          <w:szCs w:val="32"/>
          <w:highlight w:val="none"/>
          <w:lang w:val="en-US" w:eastAsia="zh-CN"/>
        </w:rPr>
        <w:t>75.79</w:t>
      </w:r>
      <w:r>
        <w:rPr>
          <w:rFonts w:hint="eastAsia" w:ascii="仿宋" w:hAnsi="仿宋" w:eastAsia="仿宋"/>
          <w:color w:val="auto"/>
          <w:sz w:val="32"/>
          <w:szCs w:val="32"/>
          <w:highlight w:val="none"/>
        </w:rPr>
        <w:t>万元，增长</w:t>
      </w:r>
      <w:r>
        <w:rPr>
          <w:rFonts w:hint="eastAsia" w:ascii="仿宋" w:hAnsi="仿宋" w:eastAsia="仿宋"/>
          <w:color w:val="auto"/>
          <w:sz w:val="32"/>
          <w:szCs w:val="32"/>
          <w:highlight w:val="none"/>
          <w:lang w:val="en-US" w:eastAsia="zh-CN"/>
        </w:rPr>
        <w:t>1.39</w:t>
      </w:r>
      <w:r>
        <w:rPr>
          <w:rFonts w:ascii="仿宋" w:hAnsi="仿宋" w:eastAsia="仿宋"/>
          <w:color w:val="auto"/>
          <w:sz w:val="32"/>
          <w:szCs w:val="32"/>
          <w:highlight w:val="none"/>
        </w:rPr>
        <w:t>%</w:t>
      </w:r>
      <w:r>
        <w:rPr>
          <w:rFonts w:hint="eastAsia" w:ascii="仿宋" w:hAnsi="仿宋" w:eastAsia="仿宋"/>
          <w:color w:val="auto"/>
          <w:sz w:val="32"/>
          <w:szCs w:val="32"/>
          <w:highlight w:val="none"/>
        </w:rPr>
        <w:t>。主要变动原因是</w:t>
      </w:r>
      <w:r>
        <w:rPr>
          <w:rFonts w:hint="eastAsia" w:ascii="仿宋" w:hAnsi="仿宋" w:eastAsia="仿宋"/>
          <w:color w:val="auto"/>
          <w:sz w:val="32"/>
          <w:szCs w:val="32"/>
          <w:highlight w:val="none"/>
          <w:lang w:eastAsia="zh-CN"/>
        </w:rPr>
        <w:t>退休人员一次性生活补贴增加引起。</w:t>
      </w:r>
    </w:p>
    <w:p>
      <w:pPr>
        <w:spacing w:line="600" w:lineRule="exact"/>
        <w:rPr>
          <w:rFonts w:ascii="仿宋" w:hAnsi="仿宋" w:eastAsia="仿宋"/>
          <w:color w:val="auto"/>
          <w:sz w:val="32"/>
          <w:szCs w:val="32"/>
          <w:highlight w:val="none"/>
        </w:rPr>
      </w:pPr>
      <w:r>
        <w:rPr>
          <w:rFonts w:hint="eastAsia" w:ascii="仿宋" w:hAnsi="仿宋" w:eastAsia="仿宋"/>
          <w:color w:val="auto"/>
          <w:sz w:val="32"/>
          <w:szCs w:val="32"/>
          <w:highlight w:val="none"/>
          <w:lang w:eastAsia="zh-CN"/>
        </w:rPr>
        <w:drawing>
          <wp:anchor distT="0" distB="0" distL="114300" distR="114300" simplePos="0" relativeHeight="251663360" behindDoc="0" locked="0" layoutInCell="1" allowOverlap="1">
            <wp:simplePos x="0" y="0"/>
            <wp:positionH relativeFrom="column">
              <wp:posOffset>433705</wp:posOffset>
            </wp:positionH>
            <wp:positionV relativeFrom="paragraph">
              <wp:posOffset>767080</wp:posOffset>
            </wp:positionV>
            <wp:extent cx="4401185" cy="2698750"/>
            <wp:effectExtent l="4445" t="4445" r="13970" b="20955"/>
            <wp:wrapTopAndBottom/>
            <wp:docPr id="12"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r>
        <w:rPr>
          <w:rFonts w:hint="eastAsia" w:ascii="仿宋" w:hAnsi="仿宋" w:eastAsia="仿宋"/>
          <w:color w:val="auto"/>
          <w:sz w:val="32"/>
          <w:szCs w:val="32"/>
          <w:highlight w:val="none"/>
        </w:rPr>
        <w:t>（图5：一般公共预算财政拨款支出决算变动情况）（柱状图）</w:t>
      </w:r>
    </w:p>
    <w:p>
      <w:pPr>
        <w:spacing w:line="600" w:lineRule="exact"/>
        <w:ind w:firstLine="643" w:firstLineChars="200"/>
        <w:rPr>
          <w:rFonts w:ascii="仿宋" w:hAnsi="仿宋" w:eastAsia="仿宋"/>
          <w:b/>
          <w:color w:val="auto"/>
          <w:sz w:val="32"/>
          <w:szCs w:val="32"/>
          <w:highlight w:val="none"/>
        </w:rPr>
      </w:pPr>
      <w:bookmarkStart w:id="27" w:name="_Toc15377211"/>
      <w:r>
        <w:rPr>
          <w:rFonts w:hint="eastAsia" w:ascii="仿宋" w:hAnsi="仿宋" w:eastAsia="仿宋"/>
          <w:b/>
          <w:color w:val="auto"/>
          <w:sz w:val="32"/>
          <w:szCs w:val="32"/>
          <w:highlight w:val="none"/>
          <w:lang w:eastAsia="zh-CN"/>
        </w:rPr>
        <w:t>（</w:t>
      </w:r>
      <w:r>
        <w:rPr>
          <w:rFonts w:hint="eastAsia" w:ascii="仿宋" w:hAnsi="仿宋" w:eastAsia="仿宋"/>
          <w:b/>
          <w:color w:val="auto"/>
          <w:sz w:val="32"/>
          <w:szCs w:val="32"/>
          <w:highlight w:val="none"/>
        </w:rPr>
        <w:t>二）一般公共预算财政拨款支出决算结构情况</w:t>
      </w:r>
      <w:bookmarkEnd w:id="27"/>
    </w:p>
    <w:p>
      <w:pPr>
        <w:spacing w:line="600" w:lineRule="exact"/>
        <w:ind w:firstLine="640"/>
        <w:rPr>
          <w:rFonts w:hint="eastAsia" w:ascii="仿宋" w:hAnsi="仿宋" w:eastAsia="仿宋"/>
          <w:b/>
          <w:color w:val="auto"/>
          <w:sz w:val="32"/>
          <w:szCs w:val="32"/>
          <w:highlight w:val="none"/>
        </w:rPr>
      </w:pPr>
      <w:r>
        <w:rPr>
          <w:rFonts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21</w:t>
      </w:r>
      <w:r>
        <w:rPr>
          <w:rFonts w:hint="eastAsia" w:ascii="仿宋" w:hAnsi="仿宋" w:eastAsia="仿宋"/>
          <w:color w:val="auto"/>
          <w:sz w:val="32"/>
          <w:szCs w:val="32"/>
          <w:highlight w:val="none"/>
        </w:rPr>
        <w:t>年一般公共预算财政拨款支出</w:t>
      </w:r>
      <w:r>
        <w:rPr>
          <w:rFonts w:hint="eastAsia" w:ascii="仿宋" w:hAnsi="仿宋" w:eastAsia="仿宋"/>
          <w:color w:val="auto"/>
          <w:sz w:val="32"/>
          <w:szCs w:val="32"/>
          <w:highlight w:val="none"/>
          <w:lang w:val="en-US" w:eastAsia="zh-CN"/>
        </w:rPr>
        <w:t>5545.01</w:t>
      </w:r>
      <w:r>
        <w:rPr>
          <w:rFonts w:hint="eastAsia" w:ascii="仿宋" w:hAnsi="仿宋" w:eastAsia="仿宋"/>
          <w:color w:val="auto"/>
          <w:sz w:val="32"/>
          <w:szCs w:val="32"/>
          <w:highlight w:val="none"/>
        </w:rPr>
        <w:t>万元，主要用于以下方面</w:t>
      </w:r>
      <w:r>
        <w:rPr>
          <w:rFonts w:ascii="仿宋" w:hAnsi="仿宋" w:eastAsia="仿宋"/>
          <w:color w:val="auto"/>
          <w:sz w:val="32"/>
          <w:szCs w:val="32"/>
          <w:highlight w:val="none"/>
        </w:rPr>
        <w:t>:</w:t>
      </w:r>
      <w:r>
        <w:rPr>
          <w:rFonts w:hint="eastAsia" w:ascii="仿宋" w:hAnsi="仿宋" w:eastAsia="仿宋"/>
          <w:b/>
          <w:color w:val="auto"/>
          <w:sz w:val="32"/>
          <w:szCs w:val="32"/>
          <w:highlight w:val="none"/>
        </w:rPr>
        <w:t>社会保障和就业（类）</w:t>
      </w:r>
      <w:r>
        <w:rPr>
          <w:rFonts w:hint="eastAsia" w:ascii="仿宋" w:hAnsi="仿宋" w:eastAsia="仿宋"/>
          <w:color w:val="auto"/>
          <w:sz w:val="32"/>
          <w:szCs w:val="32"/>
          <w:highlight w:val="none"/>
        </w:rPr>
        <w:t>支出</w:t>
      </w:r>
      <w:r>
        <w:rPr>
          <w:rFonts w:hint="eastAsia" w:ascii="仿宋" w:hAnsi="仿宋" w:eastAsia="仿宋"/>
          <w:color w:val="auto"/>
          <w:sz w:val="32"/>
          <w:szCs w:val="32"/>
          <w:highlight w:val="none"/>
          <w:lang w:val="en-US" w:eastAsia="zh-CN"/>
        </w:rPr>
        <w:t>1695.07</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30.57</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r>
        <w:rPr>
          <w:rFonts w:hint="eastAsia" w:ascii="仿宋" w:hAnsi="仿宋" w:eastAsia="仿宋"/>
          <w:b/>
          <w:bCs/>
          <w:color w:val="auto"/>
          <w:sz w:val="32"/>
          <w:szCs w:val="32"/>
          <w:highlight w:val="none"/>
        </w:rPr>
        <w:t>卫生健康支出</w:t>
      </w:r>
      <w:r>
        <w:rPr>
          <w:rFonts w:hint="eastAsia" w:ascii="仿宋" w:hAnsi="仿宋" w:eastAsia="仿宋"/>
          <w:color w:val="auto"/>
          <w:sz w:val="32"/>
          <w:szCs w:val="32"/>
          <w:highlight w:val="none"/>
          <w:lang w:val="en-US" w:eastAsia="zh-CN"/>
        </w:rPr>
        <w:t>140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2.52</w:t>
      </w:r>
      <w:r>
        <w:rPr>
          <w:rFonts w:ascii="仿宋" w:hAnsi="仿宋" w:eastAsia="仿宋"/>
          <w:color w:val="auto"/>
          <w:sz w:val="32"/>
          <w:szCs w:val="32"/>
          <w:highlight w:val="none"/>
        </w:rPr>
        <w:t>%</w:t>
      </w:r>
      <w:r>
        <w:rPr>
          <w:rFonts w:hint="eastAsia" w:ascii="仿宋" w:hAnsi="仿宋" w:eastAsia="仿宋"/>
          <w:color w:val="auto"/>
          <w:sz w:val="32"/>
          <w:szCs w:val="32"/>
          <w:highlight w:val="none"/>
        </w:rPr>
        <w:t>；住房保障支出</w:t>
      </w:r>
      <w:r>
        <w:rPr>
          <w:rFonts w:hint="eastAsia" w:ascii="仿宋" w:hAnsi="仿宋" w:eastAsia="仿宋"/>
          <w:color w:val="auto"/>
          <w:sz w:val="32"/>
          <w:szCs w:val="32"/>
          <w:highlight w:val="none"/>
          <w:lang w:val="en-US" w:eastAsia="zh-CN"/>
        </w:rPr>
        <w:t>200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3.61</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r>
        <w:rPr>
          <w:rFonts w:hint="eastAsia" w:ascii="仿宋" w:hAnsi="仿宋" w:eastAsia="仿宋"/>
          <w:color w:val="auto"/>
          <w:sz w:val="32"/>
          <w:szCs w:val="32"/>
          <w:lang w:eastAsia="zh-CN"/>
        </w:rPr>
        <w:t>资源勘探工业信息等支出</w:t>
      </w:r>
      <w:r>
        <w:rPr>
          <w:rFonts w:hint="eastAsia" w:ascii="仿宋" w:hAnsi="仿宋" w:eastAsia="仿宋"/>
          <w:color w:val="auto"/>
          <w:sz w:val="32"/>
          <w:szCs w:val="32"/>
          <w:lang w:val="en-US" w:eastAsia="zh-CN"/>
        </w:rPr>
        <w:t>3509.94万元，占63.30%</w:t>
      </w:r>
      <w:r>
        <w:rPr>
          <w:rFonts w:hint="eastAsia" w:ascii="仿宋" w:hAnsi="仿宋" w:eastAsia="仿宋"/>
          <w:color w:val="auto"/>
          <w:sz w:val="32"/>
          <w:szCs w:val="32"/>
        </w:rPr>
        <w:t>。</w:t>
      </w:r>
    </w:p>
    <w:p>
      <w:pPr>
        <w:spacing w:line="600" w:lineRule="exact"/>
        <w:rPr>
          <w:rFonts w:ascii="仿宋" w:hAnsi="仿宋" w:eastAsia="仿宋"/>
          <w:color w:val="auto"/>
          <w:sz w:val="32"/>
          <w:szCs w:val="32"/>
          <w:highlight w:val="none"/>
        </w:rPr>
      </w:pPr>
      <w:r>
        <w:rPr>
          <w:rFonts w:hint="eastAsia" w:ascii="仿宋" w:hAnsi="仿宋" w:eastAsia="仿宋"/>
          <w:color w:val="auto"/>
          <w:sz w:val="32"/>
          <w:szCs w:val="32"/>
          <w:highlight w:val="none"/>
        </w:rPr>
        <w:t>（图6：一般公共预算财政拨款支出决算结构）（饼状图）</w:t>
      </w:r>
    </w:p>
    <w:p>
      <w:pPr>
        <w:spacing w:line="600" w:lineRule="exact"/>
        <w:ind w:firstLine="640" w:firstLineChars="200"/>
        <w:rPr>
          <w:rFonts w:ascii="仿宋" w:hAnsi="仿宋" w:eastAsia="仿宋"/>
          <w:b/>
          <w:color w:val="auto"/>
          <w:sz w:val="32"/>
          <w:szCs w:val="32"/>
          <w:highlight w:val="none"/>
        </w:rPr>
      </w:pPr>
      <w:r>
        <w:rPr>
          <w:rFonts w:hint="eastAsia" w:ascii="仿宋" w:hAnsi="仿宋" w:eastAsia="仿宋"/>
          <w:color w:val="auto"/>
          <w:sz w:val="32"/>
          <w:szCs w:val="32"/>
          <w:highlight w:val="none"/>
          <w:lang w:eastAsia="zh-CN"/>
        </w:rPr>
        <w:drawing>
          <wp:anchor distT="0" distB="0" distL="114300" distR="114300" simplePos="0" relativeHeight="251664384" behindDoc="0" locked="0" layoutInCell="1" allowOverlap="1">
            <wp:simplePos x="0" y="0"/>
            <wp:positionH relativeFrom="column">
              <wp:posOffset>423545</wp:posOffset>
            </wp:positionH>
            <wp:positionV relativeFrom="paragraph">
              <wp:posOffset>207645</wp:posOffset>
            </wp:positionV>
            <wp:extent cx="4477385" cy="3517900"/>
            <wp:effectExtent l="4445" t="4445" r="13970" b="20955"/>
            <wp:wrapTopAndBottom/>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bookmarkStart w:id="28" w:name="_Toc15377212"/>
      <w:r>
        <w:rPr>
          <w:rFonts w:hint="eastAsia" w:ascii="仿宋" w:hAnsi="仿宋" w:eastAsia="仿宋"/>
          <w:b/>
          <w:color w:val="auto"/>
          <w:sz w:val="32"/>
          <w:szCs w:val="32"/>
          <w:highlight w:val="none"/>
          <w:lang w:val="en-US" w:eastAsia="zh-CN"/>
        </w:rPr>
        <w:t>(</w:t>
      </w:r>
      <w:r>
        <w:rPr>
          <w:rFonts w:hint="eastAsia" w:ascii="仿宋" w:hAnsi="仿宋" w:eastAsia="仿宋"/>
          <w:b/>
          <w:color w:val="auto"/>
          <w:sz w:val="32"/>
          <w:szCs w:val="32"/>
          <w:highlight w:val="none"/>
        </w:rPr>
        <w:t>三）一般公共预算财政拨款支出决算具体情况</w:t>
      </w:r>
      <w:bookmarkEnd w:id="28"/>
    </w:p>
    <w:p>
      <w:pPr>
        <w:spacing w:line="600" w:lineRule="exact"/>
        <w:ind w:firstLine="643" w:firstLineChars="200"/>
        <w:outlineLvl w:val="2"/>
        <w:rPr>
          <w:rStyle w:val="15"/>
          <w:rFonts w:hint="eastAsia" w:ascii="仿宋" w:hAnsi="仿宋" w:eastAsia="仿宋"/>
          <w:bCs/>
          <w:color w:val="auto"/>
          <w:sz w:val="32"/>
          <w:szCs w:val="32"/>
          <w:highlight w:val="none"/>
        </w:rPr>
      </w:pPr>
      <w:bookmarkStart w:id="29" w:name="_Toc15377444"/>
      <w:bookmarkStart w:id="30" w:name="_Toc15377213"/>
      <w:bookmarkStart w:id="31" w:name="_Toc15378460"/>
      <w:r>
        <w:rPr>
          <w:rFonts w:hint="eastAsia" w:ascii="仿宋" w:hAnsi="仿宋" w:eastAsia="仿宋"/>
          <w:b/>
          <w:color w:val="auto"/>
          <w:sz w:val="32"/>
          <w:szCs w:val="32"/>
          <w:highlight w:val="none"/>
        </w:rPr>
        <w:t>20</w:t>
      </w:r>
      <w:r>
        <w:rPr>
          <w:rFonts w:hint="eastAsia" w:ascii="仿宋" w:hAnsi="仿宋" w:eastAsia="仿宋"/>
          <w:b/>
          <w:color w:val="auto"/>
          <w:sz w:val="32"/>
          <w:szCs w:val="32"/>
          <w:highlight w:val="none"/>
          <w:lang w:val="en-US" w:eastAsia="zh-CN"/>
        </w:rPr>
        <w:t>21</w:t>
      </w:r>
      <w:r>
        <w:rPr>
          <w:rFonts w:hint="eastAsia" w:ascii="仿宋" w:hAnsi="仿宋" w:eastAsia="仿宋"/>
          <w:b/>
          <w:color w:val="auto"/>
          <w:sz w:val="32"/>
          <w:szCs w:val="32"/>
          <w:highlight w:val="none"/>
        </w:rPr>
        <w:t>年</w:t>
      </w:r>
      <w:r>
        <w:rPr>
          <w:rFonts w:hint="eastAsia" w:ascii="仿宋" w:hAnsi="仿宋" w:eastAsia="仿宋"/>
          <w:b/>
          <w:color w:val="auto"/>
          <w:sz w:val="32"/>
          <w:szCs w:val="32"/>
          <w:highlight w:val="none"/>
          <w:lang w:eastAsia="zh-CN"/>
        </w:rPr>
        <w:t>一</w:t>
      </w:r>
      <w:r>
        <w:rPr>
          <w:rFonts w:hint="eastAsia" w:ascii="仿宋" w:hAnsi="仿宋" w:eastAsia="仿宋"/>
          <w:b/>
          <w:color w:val="auto"/>
          <w:sz w:val="32"/>
          <w:szCs w:val="32"/>
          <w:highlight w:val="none"/>
        </w:rPr>
        <w:t>般公共预算支出决算数为</w:t>
      </w:r>
      <w:r>
        <w:rPr>
          <w:rFonts w:hint="eastAsia" w:ascii="仿宋" w:hAnsi="仿宋" w:eastAsia="仿宋"/>
          <w:b/>
          <w:color w:val="auto"/>
          <w:sz w:val="32"/>
          <w:szCs w:val="32"/>
          <w:highlight w:val="none"/>
          <w:lang w:val="en-US" w:eastAsia="zh-CN"/>
        </w:rPr>
        <w:t>5545.01万元</w:t>
      </w:r>
      <w:r>
        <w:rPr>
          <w:rFonts w:hint="eastAsia" w:ascii="仿宋" w:hAnsi="仿宋" w:eastAsia="仿宋"/>
          <w:color w:val="auto"/>
          <w:sz w:val="32"/>
          <w:szCs w:val="32"/>
          <w:highlight w:val="none"/>
        </w:rPr>
        <w:t>，</w:t>
      </w:r>
      <w:r>
        <w:rPr>
          <w:rFonts w:hint="eastAsia" w:ascii="仿宋" w:hAnsi="仿宋" w:eastAsia="仿宋"/>
          <w:b/>
          <w:color w:val="auto"/>
          <w:sz w:val="32"/>
          <w:szCs w:val="32"/>
          <w:highlight w:val="none"/>
          <w:lang w:eastAsia="zh-CN"/>
        </w:rPr>
        <w:t>其中基本支出</w:t>
      </w:r>
      <w:r>
        <w:rPr>
          <w:rFonts w:hint="eastAsia" w:ascii="仿宋" w:hAnsi="仿宋" w:eastAsia="仿宋"/>
          <w:b/>
          <w:color w:val="auto"/>
          <w:sz w:val="32"/>
          <w:szCs w:val="32"/>
          <w:highlight w:val="none"/>
          <w:lang w:val="en-US" w:eastAsia="zh-CN"/>
        </w:rPr>
        <w:t>5465.01万元，项目支出80万元，</w:t>
      </w:r>
      <w:r>
        <w:rPr>
          <w:rFonts w:hint="eastAsia" w:ascii="仿宋" w:hAnsi="仿宋" w:eastAsia="仿宋"/>
          <w:b/>
          <w:color w:val="auto"/>
          <w:sz w:val="32"/>
          <w:szCs w:val="32"/>
          <w:highlight w:val="none"/>
        </w:rPr>
        <w:t>完</w:t>
      </w:r>
      <w:r>
        <w:rPr>
          <w:rStyle w:val="15"/>
          <w:rFonts w:hint="eastAsia" w:ascii="仿宋" w:hAnsi="仿宋" w:eastAsia="仿宋"/>
          <w:bCs/>
          <w:color w:val="auto"/>
          <w:sz w:val="32"/>
          <w:szCs w:val="32"/>
          <w:highlight w:val="none"/>
        </w:rPr>
        <w:t>成预算</w:t>
      </w:r>
      <w:r>
        <w:rPr>
          <w:rStyle w:val="15"/>
          <w:rFonts w:hint="eastAsia" w:ascii="仿宋" w:hAnsi="仿宋" w:eastAsia="仿宋"/>
          <w:bCs/>
          <w:color w:val="auto"/>
          <w:sz w:val="32"/>
          <w:szCs w:val="32"/>
          <w:highlight w:val="none"/>
          <w:lang w:val="en-US" w:eastAsia="zh-CN"/>
        </w:rPr>
        <w:t>100</w:t>
      </w:r>
      <w:r>
        <w:rPr>
          <w:rStyle w:val="15"/>
          <w:rFonts w:ascii="仿宋" w:hAnsi="仿宋" w:eastAsia="仿宋"/>
          <w:bCs/>
          <w:color w:val="auto"/>
          <w:sz w:val="32"/>
          <w:szCs w:val="32"/>
          <w:highlight w:val="none"/>
        </w:rPr>
        <w:t>%</w:t>
      </w:r>
      <w:r>
        <w:rPr>
          <w:rStyle w:val="15"/>
          <w:rFonts w:hint="eastAsia" w:ascii="仿宋" w:hAnsi="仿宋" w:eastAsia="仿宋"/>
          <w:bCs/>
          <w:color w:val="auto"/>
          <w:sz w:val="32"/>
          <w:szCs w:val="32"/>
          <w:highlight w:val="none"/>
        </w:rPr>
        <w:t>。其中：</w:t>
      </w:r>
      <w:bookmarkEnd w:id="29"/>
      <w:bookmarkEnd w:id="30"/>
      <w:bookmarkEnd w:id="31"/>
    </w:p>
    <w:p>
      <w:pPr>
        <w:keepNext w:val="0"/>
        <w:keepLines w:val="0"/>
        <w:widowControl/>
        <w:suppressLineNumbers w:val="0"/>
        <w:ind w:firstLine="643" w:firstLineChars="200"/>
        <w:jc w:val="left"/>
      </w:pPr>
      <w:r>
        <w:rPr>
          <w:rStyle w:val="15"/>
          <w:rFonts w:hint="eastAsia" w:ascii="仿宋" w:hAnsi="仿宋" w:eastAsia="仿宋"/>
          <w:bCs/>
          <w:color w:val="auto"/>
          <w:sz w:val="32"/>
          <w:szCs w:val="32"/>
          <w:lang w:val="en-US" w:eastAsia="zh-CN"/>
        </w:rPr>
        <w:t>1</w:t>
      </w:r>
      <w:r>
        <w:rPr>
          <w:rStyle w:val="15"/>
          <w:rFonts w:ascii="仿宋" w:hAnsi="仿宋" w:eastAsia="仿宋"/>
          <w:bCs/>
          <w:color w:val="auto"/>
          <w:sz w:val="32"/>
          <w:szCs w:val="32"/>
        </w:rPr>
        <w:t>.</w:t>
      </w:r>
      <w:r>
        <w:rPr>
          <w:rFonts w:ascii="仿宋_GB2312" w:hAnsi="仿宋_GB2312" w:eastAsia="仿宋_GB2312" w:cs="仿宋_GB2312"/>
          <w:b/>
          <w:bCs/>
          <w:color w:val="000000"/>
          <w:kern w:val="0"/>
          <w:sz w:val="31"/>
          <w:szCs w:val="31"/>
          <w:lang w:val="en-US" w:eastAsia="zh-CN" w:bidi="ar"/>
        </w:rPr>
        <w:t>社会保障和就业（类）行政事业单位</w:t>
      </w:r>
      <w:r>
        <w:rPr>
          <w:rFonts w:hint="eastAsia" w:ascii="仿宋_GB2312" w:hAnsi="仿宋_GB2312" w:eastAsia="仿宋_GB2312" w:cs="仿宋_GB2312"/>
          <w:b/>
          <w:bCs/>
          <w:color w:val="000000"/>
          <w:kern w:val="0"/>
          <w:sz w:val="31"/>
          <w:szCs w:val="31"/>
          <w:lang w:val="en-US" w:eastAsia="zh-CN" w:bidi="ar"/>
        </w:rPr>
        <w:t>养老支出</w:t>
      </w:r>
      <w:r>
        <w:rPr>
          <w:rFonts w:ascii="仿宋_GB2312" w:hAnsi="仿宋_GB2312" w:eastAsia="仿宋_GB2312" w:cs="仿宋_GB2312"/>
          <w:b/>
          <w:bCs/>
          <w:color w:val="000000"/>
          <w:kern w:val="0"/>
          <w:sz w:val="31"/>
          <w:szCs w:val="31"/>
          <w:lang w:val="en-US" w:eastAsia="zh-CN" w:bidi="ar"/>
        </w:rPr>
        <w:t>（款）事业单位离退休（项）:</w:t>
      </w:r>
      <w:r>
        <w:rPr>
          <w:rFonts w:ascii="仿宋_GB2312" w:hAnsi="仿宋_GB2312" w:eastAsia="仿宋_GB2312" w:cs="仿宋_GB2312"/>
          <w:color w:val="000000"/>
          <w:kern w:val="0"/>
          <w:sz w:val="31"/>
          <w:szCs w:val="31"/>
          <w:lang w:val="en-US" w:eastAsia="zh-CN" w:bidi="ar"/>
        </w:rPr>
        <w:t>支出决算为</w:t>
      </w:r>
      <w:r>
        <w:rPr>
          <w:rFonts w:hint="eastAsia" w:ascii="仿宋_GB2312" w:hAnsi="仿宋_GB2312" w:eastAsia="仿宋_GB2312" w:cs="仿宋_GB2312"/>
          <w:color w:val="000000"/>
          <w:kern w:val="0"/>
          <w:sz w:val="31"/>
          <w:szCs w:val="31"/>
          <w:lang w:val="en-US" w:eastAsia="zh-CN" w:bidi="ar"/>
        </w:rPr>
        <w:t>1095.07</w:t>
      </w:r>
      <w:r>
        <w:rPr>
          <w:rFonts w:ascii="仿宋_GB2312" w:hAnsi="仿宋_GB2312" w:eastAsia="仿宋_GB2312" w:cs="仿宋_GB2312"/>
          <w:color w:val="000000"/>
          <w:kern w:val="0"/>
          <w:sz w:val="31"/>
          <w:szCs w:val="31"/>
          <w:lang w:val="en-US" w:eastAsia="zh-CN" w:bidi="ar"/>
        </w:rPr>
        <w:t xml:space="preserve">万元，完成预算 </w:t>
      </w:r>
    </w:p>
    <w:p>
      <w:pPr>
        <w:keepNext w:val="0"/>
        <w:keepLines w:val="0"/>
        <w:widowControl/>
        <w:suppressLineNumbers w:val="0"/>
        <w:jc w:val="left"/>
      </w:pPr>
      <w:r>
        <w:rPr>
          <w:rFonts w:hint="eastAsia" w:ascii="仿宋_GB2312" w:hAnsi="仿宋_GB2312" w:eastAsia="仿宋_GB2312" w:cs="仿宋_GB2312"/>
          <w:color w:val="000000"/>
          <w:kern w:val="0"/>
          <w:sz w:val="31"/>
          <w:szCs w:val="31"/>
          <w:lang w:val="en-US" w:eastAsia="zh-CN" w:bidi="ar"/>
        </w:rPr>
        <w:t>100</w:t>
      </w:r>
      <w:r>
        <w:rPr>
          <w:rFonts w:ascii="仿宋_GB2312" w:hAnsi="仿宋_GB2312" w:eastAsia="仿宋_GB2312" w:cs="仿宋_GB2312"/>
          <w:color w:val="000000"/>
          <w:kern w:val="0"/>
          <w:sz w:val="31"/>
          <w:szCs w:val="31"/>
          <w:lang w:val="en-US" w:eastAsia="zh-CN" w:bidi="ar"/>
        </w:rPr>
        <w:t>%。</w:t>
      </w:r>
    </w:p>
    <w:p>
      <w:pPr>
        <w:keepNext w:val="0"/>
        <w:keepLines w:val="0"/>
        <w:widowControl/>
        <w:suppressLineNumbers w:val="0"/>
        <w:ind w:firstLine="622" w:firstLineChars="200"/>
        <w:jc w:val="left"/>
      </w:pPr>
      <w:r>
        <w:rPr>
          <w:rFonts w:hint="eastAsia" w:ascii="仿宋_GB2312" w:hAnsi="仿宋_GB2312" w:eastAsia="仿宋_GB2312" w:cs="仿宋_GB2312"/>
          <w:b/>
          <w:bCs/>
          <w:color w:val="000000"/>
          <w:kern w:val="0"/>
          <w:sz w:val="31"/>
          <w:szCs w:val="31"/>
          <w:lang w:val="en-US" w:eastAsia="zh-CN" w:bidi="ar"/>
        </w:rPr>
        <w:t>2</w:t>
      </w:r>
      <w:r>
        <w:rPr>
          <w:rFonts w:ascii="仿宋_GB2312" w:hAnsi="仿宋_GB2312" w:eastAsia="仿宋_GB2312" w:cs="仿宋_GB2312"/>
          <w:b/>
          <w:bCs/>
          <w:color w:val="000000"/>
          <w:kern w:val="0"/>
          <w:sz w:val="31"/>
          <w:szCs w:val="31"/>
          <w:lang w:val="en-US" w:eastAsia="zh-CN" w:bidi="ar"/>
        </w:rPr>
        <w:t>.社会保障和就业（类）行政事业单位</w:t>
      </w:r>
      <w:r>
        <w:rPr>
          <w:rFonts w:hint="eastAsia" w:ascii="仿宋_GB2312" w:hAnsi="仿宋_GB2312" w:eastAsia="仿宋_GB2312" w:cs="仿宋_GB2312"/>
          <w:b/>
          <w:bCs/>
          <w:color w:val="000000"/>
          <w:kern w:val="0"/>
          <w:sz w:val="31"/>
          <w:szCs w:val="31"/>
          <w:lang w:val="en-US" w:eastAsia="zh-CN" w:bidi="ar"/>
        </w:rPr>
        <w:t>养老支出</w:t>
      </w:r>
      <w:r>
        <w:rPr>
          <w:rFonts w:ascii="仿宋_GB2312" w:hAnsi="仿宋_GB2312" w:eastAsia="仿宋_GB2312" w:cs="仿宋_GB2312"/>
          <w:b/>
          <w:bCs/>
          <w:color w:val="000000"/>
          <w:kern w:val="0"/>
          <w:sz w:val="31"/>
          <w:szCs w:val="31"/>
          <w:lang w:val="en-US" w:eastAsia="zh-CN" w:bidi="ar"/>
        </w:rPr>
        <w:t>（款）机关事业单位基本养老保险缴费支出（项）:</w:t>
      </w:r>
      <w:r>
        <w:rPr>
          <w:rFonts w:ascii="仿宋_GB2312" w:hAnsi="仿宋_GB2312" w:eastAsia="仿宋_GB2312" w:cs="仿宋_GB2312"/>
          <w:color w:val="000000"/>
          <w:kern w:val="0"/>
          <w:sz w:val="31"/>
          <w:szCs w:val="31"/>
          <w:lang w:val="en-US" w:eastAsia="zh-CN" w:bidi="ar"/>
        </w:rPr>
        <w:t>支出决算为</w:t>
      </w:r>
      <w:r>
        <w:rPr>
          <w:rFonts w:hint="eastAsia" w:ascii="仿宋_GB2312" w:hAnsi="仿宋_GB2312" w:eastAsia="仿宋_GB2312" w:cs="仿宋_GB2312"/>
          <w:color w:val="000000"/>
          <w:kern w:val="0"/>
          <w:sz w:val="31"/>
          <w:szCs w:val="31"/>
          <w:lang w:val="en-US" w:eastAsia="zh-CN" w:bidi="ar"/>
        </w:rPr>
        <w:t>400</w:t>
      </w:r>
      <w:r>
        <w:rPr>
          <w:rFonts w:ascii="仿宋_GB2312" w:hAnsi="仿宋_GB2312" w:eastAsia="仿宋_GB2312" w:cs="仿宋_GB2312"/>
          <w:color w:val="000000"/>
          <w:kern w:val="0"/>
          <w:sz w:val="31"/>
          <w:szCs w:val="31"/>
          <w:lang w:val="en-US" w:eastAsia="zh-CN" w:bidi="ar"/>
        </w:rPr>
        <w:t>万元，完成预算</w:t>
      </w:r>
      <w:r>
        <w:rPr>
          <w:rFonts w:hint="eastAsia" w:ascii="仿宋_GB2312" w:hAnsi="仿宋_GB2312" w:eastAsia="仿宋_GB2312" w:cs="仿宋_GB2312"/>
          <w:color w:val="000000"/>
          <w:kern w:val="0"/>
          <w:sz w:val="31"/>
          <w:szCs w:val="31"/>
          <w:lang w:val="en-US" w:eastAsia="zh-CN" w:bidi="ar"/>
        </w:rPr>
        <w:t>100</w:t>
      </w:r>
      <w:r>
        <w:rPr>
          <w:rFonts w:ascii="仿宋_GB2312" w:hAnsi="仿宋_GB2312" w:eastAsia="仿宋_GB2312" w:cs="仿宋_GB2312"/>
          <w:color w:val="000000"/>
          <w:kern w:val="0"/>
          <w:sz w:val="31"/>
          <w:szCs w:val="31"/>
          <w:lang w:val="en-US" w:eastAsia="zh-CN" w:bidi="ar"/>
        </w:rPr>
        <w:t xml:space="preserve">%。 </w:t>
      </w:r>
    </w:p>
    <w:p>
      <w:pPr>
        <w:keepNext w:val="0"/>
        <w:keepLines w:val="0"/>
        <w:widowControl/>
        <w:suppressLineNumbers w:val="0"/>
        <w:ind w:firstLine="622" w:firstLineChars="200"/>
        <w:jc w:val="left"/>
        <w:rPr>
          <w:rFonts w:ascii="仿宋_GB2312" w:hAnsi="仿宋_GB2312" w:eastAsia="仿宋_GB2312" w:cs="仿宋_GB2312"/>
          <w:color w:val="000000"/>
          <w:kern w:val="0"/>
          <w:sz w:val="31"/>
          <w:szCs w:val="31"/>
          <w:lang w:val="en-US" w:eastAsia="zh-CN" w:bidi="ar"/>
        </w:rPr>
      </w:pPr>
      <w:r>
        <w:rPr>
          <w:rFonts w:hint="eastAsia" w:ascii="仿宋_GB2312" w:hAnsi="仿宋_GB2312" w:eastAsia="仿宋_GB2312" w:cs="仿宋_GB2312"/>
          <w:b/>
          <w:bCs/>
          <w:color w:val="000000"/>
          <w:kern w:val="0"/>
          <w:sz w:val="31"/>
          <w:szCs w:val="31"/>
          <w:lang w:val="en-US" w:eastAsia="zh-CN" w:bidi="ar"/>
        </w:rPr>
        <w:t>3</w:t>
      </w:r>
      <w:r>
        <w:rPr>
          <w:rFonts w:ascii="仿宋_GB2312" w:hAnsi="仿宋_GB2312" w:eastAsia="仿宋_GB2312" w:cs="仿宋_GB2312"/>
          <w:b/>
          <w:bCs/>
          <w:color w:val="000000"/>
          <w:kern w:val="0"/>
          <w:sz w:val="31"/>
          <w:szCs w:val="31"/>
          <w:lang w:val="en-US" w:eastAsia="zh-CN" w:bidi="ar"/>
        </w:rPr>
        <w:t>.社会保障和就业（类）行政事业单位</w:t>
      </w:r>
      <w:r>
        <w:rPr>
          <w:rFonts w:hint="eastAsia" w:ascii="仿宋_GB2312" w:hAnsi="仿宋_GB2312" w:eastAsia="仿宋_GB2312" w:cs="仿宋_GB2312"/>
          <w:b/>
          <w:bCs/>
          <w:color w:val="000000"/>
          <w:kern w:val="0"/>
          <w:sz w:val="31"/>
          <w:szCs w:val="31"/>
          <w:lang w:val="en-US" w:eastAsia="zh-CN" w:bidi="ar"/>
        </w:rPr>
        <w:t>养老支出</w:t>
      </w:r>
      <w:r>
        <w:rPr>
          <w:rFonts w:ascii="仿宋_GB2312" w:hAnsi="仿宋_GB2312" w:eastAsia="仿宋_GB2312" w:cs="仿宋_GB2312"/>
          <w:b/>
          <w:bCs/>
          <w:color w:val="000000"/>
          <w:kern w:val="0"/>
          <w:sz w:val="31"/>
          <w:szCs w:val="31"/>
          <w:lang w:val="en-US" w:eastAsia="zh-CN" w:bidi="ar"/>
        </w:rPr>
        <w:t>（款）机关事业单位职业年金缴费支出（项）:</w:t>
      </w:r>
      <w:r>
        <w:rPr>
          <w:rFonts w:ascii="仿宋_GB2312" w:hAnsi="仿宋_GB2312" w:eastAsia="仿宋_GB2312" w:cs="仿宋_GB2312"/>
          <w:color w:val="000000"/>
          <w:kern w:val="0"/>
          <w:sz w:val="31"/>
          <w:szCs w:val="31"/>
          <w:lang w:val="en-US" w:eastAsia="zh-CN" w:bidi="ar"/>
        </w:rPr>
        <w:t xml:space="preserve">支出决算为 </w:t>
      </w:r>
      <w:r>
        <w:rPr>
          <w:rFonts w:hint="eastAsia" w:ascii="仿宋_GB2312" w:hAnsi="仿宋_GB2312" w:eastAsia="仿宋_GB2312" w:cs="仿宋_GB2312"/>
          <w:color w:val="000000"/>
          <w:kern w:val="0"/>
          <w:sz w:val="31"/>
          <w:szCs w:val="31"/>
          <w:lang w:val="en-US" w:eastAsia="zh-CN" w:bidi="ar"/>
        </w:rPr>
        <w:t>200</w:t>
      </w:r>
      <w:r>
        <w:rPr>
          <w:rFonts w:ascii="仿宋_GB2312" w:hAnsi="仿宋_GB2312" w:eastAsia="仿宋_GB2312" w:cs="仿宋_GB2312"/>
          <w:color w:val="000000"/>
          <w:kern w:val="0"/>
          <w:sz w:val="31"/>
          <w:szCs w:val="31"/>
          <w:lang w:val="en-US" w:eastAsia="zh-CN" w:bidi="ar"/>
        </w:rPr>
        <w:t>万元，完成预算</w:t>
      </w:r>
      <w:r>
        <w:rPr>
          <w:rFonts w:hint="eastAsia" w:ascii="仿宋_GB2312" w:hAnsi="仿宋_GB2312" w:eastAsia="仿宋_GB2312" w:cs="仿宋_GB2312"/>
          <w:color w:val="000000"/>
          <w:kern w:val="0"/>
          <w:sz w:val="31"/>
          <w:szCs w:val="31"/>
          <w:lang w:val="en-US" w:eastAsia="zh-CN" w:bidi="ar"/>
        </w:rPr>
        <w:t>100</w:t>
      </w:r>
      <w:r>
        <w:rPr>
          <w:rFonts w:ascii="仿宋_GB2312" w:hAnsi="仿宋_GB2312" w:eastAsia="仿宋_GB2312" w:cs="仿宋_GB2312"/>
          <w:color w:val="000000"/>
          <w:kern w:val="0"/>
          <w:sz w:val="31"/>
          <w:szCs w:val="31"/>
          <w:lang w:val="en-US" w:eastAsia="zh-CN" w:bidi="ar"/>
        </w:rPr>
        <w:t xml:space="preserve">%。 </w:t>
      </w:r>
    </w:p>
    <w:p>
      <w:pPr>
        <w:keepNext w:val="0"/>
        <w:keepLines w:val="0"/>
        <w:widowControl/>
        <w:suppressLineNumbers w:val="0"/>
        <w:ind w:firstLine="643" w:firstLineChars="200"/>
        <w:jc w:val="left"/>
        <w:rPr>
          <w:rStyle w:val="15"/>
          <w:rFonts w:hint="eastAsia" w:ascii="仿宋" w:hAnsi="仿宋" w:eastAsia="仿宋"/>
          <w:b w:val="0"/>
          <w:bCs/>
          <w:color w:val="auto"/>
          <w:sz w:val="32"/>
          <w:szCs w:val="32"/>
        </w:rPr>
      </w:pPr>
      <w:r>
        <w:rPr>
          <w:rStyle w:val="15"/>
          <w:rFonts w:hint="eastAsia" w:ascii="仿宋" w:hAnsi="仿宋" w:eastAsia="仿宋"/>
          <w:bCs/>
          <w:color w:val="auto"/>
          <w:sz w:val="32"/>
          <w:szCs w:val="32"/>
          <w:lang w:val="en-US" w:eastAsia="zh-CN"/>
        </w:rPr>
        <w:t>4</w:t>
      </w:r>
      <w:r>
        <w:rPr>
          <w:rStyle w:val="15"/>
          <w:rFonts w:ascii="仿宋" w:hAnsi="仿宋" w:eastAsia="仿宋"/>
          <w:bCs/>
          <w:color w:val="auto"/>
          <w:sz w:val="32"/>
          <w:szCs w:val="32"/>
        </w:rPr>
        <w:t>.</w:t>
      </w:r>
      <w:r>
        <w:rPr>
          <w:rFonts w:hint="eastAsia" w:ascii="仿宋" w:hAnsi="仿宋" w:eastAsia="仿宋"/>
          <w:b/>
          <w:bCs/>
          <w:color w:val="auto"/>
          <w:sz w:val="32"/>
          <w:szCs w:val="32"/>
        </w:rPr>
        <w:t>卫生健康</w:t>
      </w:r>
      <w:r>
        <w:rPr>
          <w:rFonts w:ascii="仿宋_GB2312" w:hAnsi="仿宋_GB2312" w:eastAsia="仿宋_GB2312" w:cs="仿宋_GB2312"/>
          <w:b/>
          <w:bCs/>
          <w:color w:val="000000"/>
          <w:kern w:val="0"/>
          <w:sz w:val="31"/>
          <w:szCs w:val="31"/>
          <w:lang w:val="en-US" w:eastAsia="zh-CN" w:bidi="ar"/>
        </w:rPr>
        <w:t>（类）行政事业单位医疗（款）事业单位医疗（项）</w:t>
      </w:r>
      <w:r>
        <w:rPr>
          <w:rStyle w:val="15"/>
          <w:rFonts w:ascii="仿宋" w:hAnsi="仿宋" w:eastAsia="仿宋"/>
          <w:bCs/>
          <w:color w:val="auto"/>
          <w:sz w:val="32"/>
          <w:szCs w:val="32"/>
        </w:rPr>
        <w:t>:</w:t>
      </w:r>
      <w:r>
        <w:rPr>
          <w:rStyle w:val="15"/>
          <w:rFonts w:hint="eastAsia" w:ascii="仿宋" w:hAnsi="仿宋" w:eastAsia="仿宋"/>
          <w:b w:val="0"/>
          <w:bCs/>
          <w:color w:val="auto"/>
          <w:sz w:val="32"/>
          <w:szCs w:val="32"/>
        </w:rPr>
        <w:t>支出决算为</w:t>
      </w:r>
      <w:r>
        <w:rPr>
          <w:rStyle w:val="15"/>
          <w:rFonts w:hint="eastAsia" w:ascii="仿宋" w:hAnsi="仿宋" w:eastAsia="仿宋"/>
          <w:b w:val="0"/>
          <w:bCs/>
          <w:color w:val="auto"/>
          <w:sz w:val="32"/>
          <w:szCs w:val="32"/>
          <w:lang w:val="en-US" w:eastAsia="zh-CN"/>
        </w:rPr>
        <w:t>140</w:t>
      </w:r>
      <w:r>
        <w:rPr>
          <w:rStyle w:val="15"/>
          <w:rFonts w:hint="eastAsia" w:ascii="仿宋" w:hAnsi="仿宋" w:eastAsia="仿宋"/>
          <w:b w:val="0"/>
          <w:bCs/>
          <w:color w:val="auto"/>
          <w:sz w:val="32"/>
          <w:szCs w:val="32"/>
        </w:rPr>
        <w:t>万元，完成预算</w:t>
      </w:r>
      <w:r>
        <w:rPr>
          <w:rStyle w:val="15"/>
          <w:rFonts w:hint="eastAsia" w:ascii="仿宋" w:hAnsi="仿宋" w:eastAsia="仿宋"/>
          <w:b w:val="0"/>
          <w:bCs/>
          <w:color w:val="auto"/>
          <w:sz w:val="32"/>
          <w:szCs w:val="32"/>
          <w:lang w:val="en-US" w:eastAsia="zh-CN"/>
        </w:rPr>
        <w:t>100</w:t>
      </w:r>
      <w:r>
        <w:rPr>
          <w:rStyle w:val="15"/>
          <w:rFonts w:ascii="仿宋" w:hAnsi="仿宋" w:eastAsia="仿宋"/>
          <w:b w:val="0"/>
          <w:bCs/>
          <w:color w:val="auto"/>
          <w:sz w:val="32"/>
          <w:szCs w:val="32"/>
        </w:rPr>
        <w:t>%</w:t>
      </w:r>
      <w:r>
        <w:rPr>
          <w:rStyle w:val="15"/>
          <w:rFonts w:hint="eastAsia" w:ascii="仿宋" w:hAnsi="仿宋" w:eastAsia="仿宋"/>
          <w:b w:val="0"/>
          <w:bCs/>
          <w:color w:val="auto"/>
          <w:sz w:val="32"/>
          <w:szCs w:val="32"/>
        </w:rPr>
        <w:t>。</w:t>
      </w:r>
    </w:p>
    <w:p>
      <w:pPr>
        <w:pStyle w:val="6"/>
        <w:ind w:firstLine="643" w:firstLineChars="200"/>
        <w:rPr>
          <w:rStyle w:val="15"/>
          <w:rFonts w:hint="eastAsia" w:ascii="仿宋" w:hAnsi="仿宋" w:eastAsia="仿宋"/>
          <w:b w:val="0"/>
          <w:bCs/>
          <w:color w:val="auto"/>
          <w:sz w:val="32"/>
          <w:szCs w:val="32"/>
        </w:rPr>
      </w:pPr>
      <w:r>
        <w:rPr>
          <w:rStyle w:val="15"/>
          <w:rFonts w:hint="eastAsia" w:ascii="仿宋" w:hAnsi="仿宋" w:eastAsia="仿宋"/>
          <w:bCs/>
          <w:color w:val="auto"/>
          <w:sz w:val="32"/>
          <w:szCs w:val="32"/>
          <w:lang w:val="en-US" w:eastAsia="zh-CN"/>
        </w:rPr>
        <w:t>5</w:t>
      </w:r>
      <w:r>
        <w:rPr>
          <w:rStyle w:val="15"/>
          <w:rFonts w:ascii="仿宋" w:hAnsi="仿宋" w:eastAsia="仿宋"/>
          <w:bCs/>
          <w:color w:val="auto"/>
          <w:sz w:val="32"/>
          <w:szCs w:val="32"/>
        </w:rPr>
        <w:t>.</w:t>
      </w:r>
      <w:r>
        <w:rPr>
          <w:rFonts w:hint="eastAsia" w:ascii="仿宋" w:hAnsi="仿宋" w:eastAsia="仿宋"/>
          <w:b/>
          <w:bCs/>
          <w:color w:val="auto"/>
          <w:sz w:val="32"/>
          <w:szCs w:val="32"/>
          <w:lang w:eastAsia="zh-CN"/>
        </w:rPr>
        <w:t>资源勘探工业信息等</w:t>
      </w:r>
      <w:r>
        <w:rPr>
          <w:rFonts w:ascii="仿宋_GB2312" w:hAnsi="仿宋_GB2312" w:eastAsia="仿宋_GB2312" w:cs="仿宋_GB2312"/>
          <w:b/>
          <w:bCs/>
          <w:color w:val="000000"/>
          <w:kern w:val="0"/>
          <w:sz w:val="31"/>
          <w:szCs w:val="31"/>
          <w:lang w:val="en-US" w:eastAsia="zh-CN" w:bidi="ar"/>
        </w:rPr>
        <w:t>（类）</w:t>
      </w:r>
      <w:r>
        <w:rPr>
          <w:rFonts w:hint="eastAsia" w:hAnsi="仿宋_GB2312" w:cs="仿宋_GB2312"/>
          <w:b/>
          <w:bCs/>
          <w:color w:val="000000"/>
          <w:kern w:val="0"/>
          <w:sz w:val="31"/>
          <w:szCs w:val="31"/>
          <w:lang w:val="en-US" w:eastAsia="zh-CN" w:bidi="ar"/>
        </w:rPr>
        <w:t>资源勘探开发</w:t>
      </w:r>
      <w:r>
        <w:rPr>
          <w:rFonts w:ascii="仿宋_GB2312" w:hAnsi="仿宋_GB2312" w:eastAsia="仿宋_GB2312" w:cs="仿宋_GB2312"/>
          <w:b/>
          <w:bCs/>
          <w:color w:val="000000"/>
          <w:kern w:val="0"/>
          <w:sz w:val="31"/>
          <w:szCs w:val="31"/>
          <w:lang w:val="en-US" w:eastAsia="zh-CN" w:bidi="ar"/>
        </w:rPr>
        <w:t>（款）</w:t>
      </w:r>
      <w:r>
        <w:rPr>
          <w:rFonts w:hint="eastAsia" w:hAnsi="仿宋_GB2312" w:cs="仿宋_GB2312"/>
          <w:b/>
          <w:bCs/>
          <w:color w:val="000000"/>
          <w:kern w:val="0"/>
          <w:sz w:val="31"/>
          <w:szCs w:val="31"/>
          <w:lang w:val="en-US" w:eastAsia="zh-CN" w:bidi="ar"/>
        </w:rPr>
        <w:t>其他资源勘探业支出</w:t>
      </w:r>
      <w:r>
        <w:rPr>
          <w:rFonts w:ascii="仿宋_GB2312" w:hAnsi="仿宋_GB2312" w:eastAsia="仿宋_GB2312" w:cs="仿宋_GB2312"/>
          <w:b/>
          <w:bCs/>
          <w:color w:val="000000"/>
          <w:kern w:val="0"/>
          <w:sz w:val="31"/>
          <w:szCs w:val="31"/>
          <w:lang w:val="en-US" w:eastAsia="zh-CN" w:bidi="ar"/>
        </w:rPr>
        <w:t>（项）</w:t>
      </w:r>
      <w:r>
        <w:rPr>
          <w:rStyle w:val="15"/>
          <w:rFonts w:ascii="仿宋" w:hAnsi="仿宋" w:eastAsia="仿宋"/>
          <w:bCs/>
          <w:color w:val="auto"/>
          <w:sz w:val="32"/>
          <w:szCs w:val="32"/>
        </w:rPr>
        <w:t>:</w:t>
      </w:r>
      <w:r>
        <w:rPr>
          <w:rStyle w:val="15"/>
          <w:rFonts w:hint="eastAsia" w:ascii="仿宋" w:hAnsi="仿宋" w:eastAsia="仿宋"/>
          <w:b w:val="0"/>
          <w:bCs/>
          <w:color w:val="auto"/>
          <w:sz w:val="32"/>
          <w:szCs w:val="32"/>
        </w:rPr>
        <w:t>支出决算为</w:t>
      </w:r>
      <w:r>
        <w:rPr>
          <w:rStyle w:val="15"/>
          <w:rFonts w:hint="eastAsia" w:ascii="仿宋" w:hAnsi="仿宋" w:eastAsia="仿宋"/>
          <w:b w:val="0"/>
          <w:bCs/>
          <w:color w:val="auto"/>
          <w:sz w:val="32"/>
          <w:szCs w:val="32"/>
          <w:lang w:val="en-US" w:eastAsia="zh-CN"/>
        </w:rPr>
        <w:t>3509.94</w:t>
      </w:r>
      <w:r>
        <w:rPr>
          <w:rStyle w:val="15"/>
          <w:rFonts w:hint="eastAsia" w:ascii="仿宋" w:hAnsi="仿宋" w:eastAsia="仿宋"/>
          <w:b w:val="0"/>
          <w:bCs/>
          <w:color w:val="auto"/>
          <w:sz w:val="32"/>
          <w:szCs w:val="32"/>
        </w:rPr>
        <w:t>万元，完成预算</w:t>
      </w:r>
      <w:r>
        <w:rPr>
          <w:rStyle w:val="15"/>
          <w:rFonts w:hint="eastAsia" w:ascii="仿宋" w:hAnsi="仿宋" w:eastAsia="仿宋"/>
          <w:b w:val="0"/>
          <w:bCs/>
          <w:color w:val="auto"/>
          <w:sz w:val="32"/>
          <w:szCs w:val="32"/>
          <w:lang w:val="en-US" w:eastAsia="zh-CN"/>
        </w:rPr>
        <w:t>100</w:t>
      </w:r>
      <w:r>
        <w:rPr>
          <w:rStyle w:val="15"/>
          <w:rFonts w:ascii="仿宋" w:hAnsi="仿宋" w:eastAsia="仿宋"/>
          <w:b w:val="0"/>
          <w:bCs/>
          <w:color w:val="auto"/>
          <w:sz w:val="32"/>
          <w:szCs w:val="32"/>
        </w:rPr>
        <w:t>%</w:t>
      </w:r>
      <w:r>
        <w:rPr>
          <w:rStyle w:val="15"/>
          <w:rFonts w:hint="eastAsia" w:ascii="仿宋" w:hAnsi="仿宋" w:eastAsia="仿宋"/>
          <w:b w:val="0"/>
          <w:bCs/>
          <w:color w:val="auto"/>
          <w:sz w:val="32"/>
          <w:szCs w:val="32"/>
        </w:rPr>
        <w:t>。</w:t>
      </w:r>
    </w:p>
    <w:p>
      <w:pPr>
        <w:keepNext w:val="0"/>
        <w:keepLines w:val="0"/>
        <w:widowControl/>
        <w:suppressLineNumbers w:val="0"/>
        <w:ind w:firstLine="622" w:firstLineChars="200"/>
        <w:jc w:val="left"/>
        <w:rPr>
          <w:rFonts w:ascii="仿宋" w:hAnsi="仿宋" w:eastAsia="仿宋"/>
          <w:b/>
          <w:color w:val="auto"/>
          <w:sz w:val="32"/>
          <w:szCs w:val="32"/>
          <w:highlight w:val="none"/>
        </w:rPr>
      </w:pPr>
      <w:r>
        <w:rPr>
          <w:rFonts w:hint="eastAsia" w:ascii="仿宋_GB2312" w:hAnsi="仿宋_GB2312" w:eastAsia="仿宋_GB2312" w:cs="仿宋_GB2312"/>
          <w:b/>
          <w:bCs/>
          <w:color w:val="000000"/>
          <w:kern w:val="0"/>
          <w:sz w:val="31"/>
          <w:szCs w:val="31"/>
          <w:lang w:val="en-US" w:eastAsia="zh-CN" w:bidi="ar"/>
        </w:rPr>
        <w:t>6.</w:t>
      </w:r>
      <w:r>
        <w:rPr>
          <w:rFonts w:ascii="仿宋_GB2312" w:hAnsi="仿宋_GB2312" w:eastAsia="仿宋_GB2312" w:cs="仿宋_GB2312"/>
          <w:b/>
          <w:bCs/>
          <w:color w:val="000000"/>
          <w:kern w:val="0"/>
          <w:sz w:val="31"/>
          <w:szCs w:val="31"/>
          <w:lang w:val="en-US" w:eastAsia="zh-CN" w:bidi="ar"/>
        </w:rPr>
        <w:t>住房保障（类）住房改革支出（款）住房公积金（项）:</w:t>
      </w:r>
      <w:r>
        <w:rPr>
          <w:rStyle w:val="15"/>
          <w:rFonts w:hint="eastAsia" w:ascii="仿宋" w:hAnsi="仿宋" w:eastAsia="仿宋"/>
          <w:b w:val="0"/>
          <w:bCs/>
          <w:color w:val="auto"/>
          <w:sz w:val="32"/>
          <w:szCs w:val="32"/>
        </w:rPr>
        <w:t>支出决算为</w:t>
      </w:r>
      <w:r>
        <w:rPr>
          <w:rStyle w:val="15"/>
          <w:rFonts w:hint="eastAsia" w:ascii="仿宋" w:hAnsi="仿宋" w:eastAsia="仿宋"/>
          <w:b w:val="0"/>
          <w:bCs/>
          <w:color w:val="auto"/>
          <w:sz w:val="32"/>
          <w:szCs w:val="32"/>
          <w:lang w:val="en-US" w:eastAsia="zh-CN"/>
        </w:rPr>
        <w:t>200</w:t>
      </w:r>
      <w:r>
        <w:rPr>
          <w:rStyle w:val="15"/>
          <w:rFonts w:hint="eastAsia" w:ascii="仿宋" w:hAnsi="仿宋" w:eastAsia="仿宋"/>
          <w:b w:val="0"/>
          <w:bCs/>
          <w:color w:val="auto"/>
          <w:sz w:val="32"/>
          <w:szCs w:val="32"/>
        </w:rPr>
        <w:t>万元，完成预算</w:t>
      </w:r>
      <w:r>
        <w:rPr>
          <w:rStyle w:val="15"/>
          <w:rFonts w:hint="eastAsia" w:ascii="仿宋" w:hAnsi="仿宋" w:eastAsia="仿宋"/>
          <w:b w:val="0"/>
          <w:bCs/>
          <w:color w:val="auto"/>
          <w:sz w:val="32"/>
          <w:szCs w:val="32"/>
          <w:lang w:val="en-US" w:eastAsia="zh-CN"/>
        </w:rPr>
        <w:t>100</w:t>
      </w:r>
      <w:r>
        <w:rPr>
          <w:rStyle w:val="15"/>
          <w:rFonts w:ascii="仿宋" w:hAnsi="仿宋" w:eastAsia="仿宋"/>
          <w:b w:val="0"/>
          <w:bCs/>
          <w:color w:val="auto"/>
          <w:sz w:val="32"/>
          <w:szCs w:val="32"/>
        </w:rPr>
        <w:t>%</w:t>
      </w:r>
      <w:r>
        <w:rPr>
          <w:rStyle w:val="15"/>
          <w:rFonts w:hint="eastAsia" w:ascii="仿宋" w:hAnsi="仿宋" w:eastAsia="仿宋"/>
          <w:b w:val="0"/>
          <w:bCs/>
          <w:color w:val="auto"/>
          <w:sz w:val="32"/>
          <w:szCs w:val="32"/>
        </w:rPr>
        <w:t>。</w:t>
      </w:r>
    </w:p>
    <w:p>
      <w:pPr>
        <w:tabs>
          <w:tab w:val="right" w:pos="8306"/>
        </w:tabs>
        <w:spacing w:line="600" w:lineRule="exact"/>
        <w:ind w:firstLine="640"/>
        <w:outlineLvl w:val="1"/>
        <w:rPr>
          <w:rStyle w:val="26"/>
          <w:color w:val="auto"/>
          <w:highlight w:val="none"/>
        </w:rPr>
      </w:pPr>
      <w:bookmarkStart w:id="32" w:name="_Toc15396608"/>
      <w:bookmarkStart w:id="33" w:name="_Toc15377214"/>
      <w:r>
        <w:rPr>
          <w:rFonts w:hint="eastAsia" w:ascii="黑体" w:eastAsia="黑体"/>
          <w:color w:val="auto"/>
          <w:sz w:val="32"/>
          <w:szCs w:val="32"/>
          <w:highlight w:val="none"/>
        </w:rPr>
        <w:t>六</w:t>
      </w:r>
      <w:r>
        <w:rPr>
          <w:rFonts w:hint="eastAsia" w:ascii="黑体" w:eastAsia="黑体"/>
          <w:color w:val="auto"/>
          <w:sz w:val="32"/>
          <w:szCs w:val="32"/>
          <w:highlight w:val="none"/>
          <w:lang w:val="en-US" w:eastAsia="zh-CN"/>
        </w:rPr>
        <w:t>.</w:t>
      </w:r>
      <w:r>
        <w:rPr>
          <w:rFonts w:hint="eastAsia" w:ascii="黑体" w:hAnsi="黑体" w:eastAsia="黑体"/>
          <w:b/>
          <w:color w:val="auto"/>
          <w:sz w:val="32"/>
          <w:szCs w:val="32"/>
          <w:highlight w:val="none"/>
        </w:rPr>
        <w:t>一</w:t>
      </w:r>
      <w:r>
        <w:rPr>
          <w:rStyle w:val="26"/>
          <w:rFonts w:hint="eastAsia" w:ascii="黑体" w:hAnsi="黑体" w:eastAsia="黑体"/>
          <w:b w:val="0"/>
          <w:color w:val="auto"/>
          <w:highlight w:val="none"/>
        </w:rPr>
        <w:t>般公共预算财政拨款基本支出决算情况说明</w:t>
      </w:r>
      <w:bookmarkEnd w:id="32"/>
      <w:bookmarkEnd w:id="33"/>
      <w:r>
        <w:rPr>
          <w:rStyle w:val="26"/>
          <w:rFonts w:ascii="黑体" w:hAnsi="黑体" w:eastAsia="黑体"/>
          <w:b w:val="0"/>
          <w:color w:val="auto"/>
          <w:highlight w:val="none"/>
        </w:rPr>
        <w:tab/>
      </w:r>
    </w:p>
    <w:p>
      <w:pPr>
        <w:spacing w:line="600" w:lineRule="exact"/>
        <w:ind w:firstLine="645"/>
        <w:rPr>
          <w:rFonts w:ascii="仿宋" w:hAnsi="仿宋" w:eastAsia="仿宋"/>
          <w:color w:val="auto"/>
          <w:sz w:val="32"/>
          <w:szCs w:val="32"/>
          <w:highlight w:val="none"/>
        </w:rPr>
      </w:pPr>
      <w:r>
        <w:rPr>
          <w:rFonts w:ascii="仿宋" w:hAnsi="仿宋" w:eastAsia="仿宋"/>
          <w:color w:val="auto"/>
          <w:sz w:val="32"/>
          <w:szCs w:val="32"/>
          <w:highlight w:val="none"/>
        </w:rPr>
        <w:t>20</w:t>
      </w:r>
      <w:r>
        <w:rPr>
          <w:rFonts w:hint="eastAsia" w:ascii="仿宋" w:hAnsi="仿宋" w:eastAsia="仿宋"/>
          <w:color w:val="auto"/>
          <w:sz w:val="32"/>
          <w:szCs w:val="32"/>
          <w:highlight w:val="none"/>
          <w:lang w:val="en-US" w:eastAsia="zh-CN"/>
        </w:rPr>
        <w:t>21</w:t>
      </w:r>
      <w:r>
        <w:rPr>
          <w:rFonts w:hint="eastAsia" w:ascii="仿宋" w:hAnsi="仿宋" w:eastAsia="仿宋"/>
          <w:color w:val="auto"/>
          <w:sz w:val="32"/>
          <w:szCs w:val="32"/>
          <w:highlight w:val="none"/>
        </w:rPr>
        <w:t>年一般公共预算财政拨款基本支出</w:t>
      </w:r>
      <w:r>
        <w:rPr>
          <w:rFonts w:hint="eastAsia" w:ascii="仿宋" w:hAnsi="仿宋" w:eastAsia="仿宋"/>
          <w:color w:val="auto"/>
          <w:sz w:val="32"/>
          <w:szCs w:val="32"/>
          <w:highlight w:val="none"/>
          <w:lang w:val="en-US" w:eastAsia="zh-CN"/>
        </w:rPr>
        <w:t>5465.01</w:t>
      </w:r>
      <w:r>
        <w:rPr>
          <w:rFonts w:hint="eastAsia" w:ascii="仿宋" w:hAnsi="仿宋" w:eastAsia="仿宋"/>
          <w:color w:val="auto"/>
          <w:sz w:val="32"/>
          <w:szCs w:val="32"/>
          <w:highlight w:val="none"/>
        </w:rPr>
        <w:t>万元，其中：</w:t>
      </w:r>
    </w:p>
    <w:p>
      <w:pPr>
        <w:spacing w:line="600" w:lineRule="exact"/>
        <w:ind w:firstLine="645"/>
        <w:rPr>
          <w:rFonts w:hint="eastAsia" w:ascii="仿宋" w:hAnsi="仿宋" w:eastAsia="仿宋"/>
          <w:color w:val="auto"/>
          <w:sz w:val="32"/>
          <w:szCs w:val="32"/>
          <w:highlight w:val="none"/>
          <w:lang w:eastAsia="zh-CN"/>
        </w:rPr>
      </w:pPr>
      <w:r>
        <w:rPr>
          <w:rFonts w:hint="eastAsia" w:ascii="仿宋" w:hAnsi="仿宋" w:eastAsia="仿宋"/>
          <w:color w:val="auto"/>
          <w:sz w:val="32"/>
          <w:szCs w:val="32"/>
          <w:highlight w:val="none"/>
        </w:rPr>
        <w:t>人员经费</w:t>
      </w:r>
      <w:r>
        <w:rPr>
          <w:rFonts w:hint="eastAsia" w:ascii="仿宋" w:hAnsi="仿宋" w:eastAsia="仿宋"/>
          <w:color w:val="auto"/>
          <w:sz w:val="32"/>
          <w:szCs w:val="32"/>
          <w:highlight w:val="none"/>
          <w:lang w:val="en-US" w:eastAsia="zh-CN"/>
        </w:rPr>
        <w:t>5348.01</w:t>
      </w:r>
      <w:r>
        <w:rPr>
          <w:rFonts w:hint="eastAsia" w:ascii="仿宋" w:hAnsi="仿宋" w:eastAsia="仿宋"/>
          <w:color w:val="auto"/>
          <w:sz w:val="32"/>
          <w:szCs w:val="32"/>
          <w:highlight w:val="none"/>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p>
    <w:p>
      <w:pPr>
        <w:spacing w:line="600" w:lineRule="exact"/>
        <w:ind w:firstLine="645"/>
        <w:rPr>
          <w:rFonts w:ascii="仿宋" w:hAnsi="仿宋" w:eastAsia="仿宋"/>
          <w:b/>
          <w:color w:val="auto"/>
          <w:sz w:val="32"/>
          <w:szCs w:val="32"/>
          <w:highlight w:val="none"/>
        </w:rPr>
      </w:pPr>
      <w:r>
        <w:rPr>
          <w:rFonts w:hint="eastAsia" w:ascii="仿宋" w:hAnsi="仿宋" w:eastAsia="仿宋"/>
          <w:color w:val="auto"/>
          <w:sz w:val="32"/>
          <w:szCs w:val="32"/>
          <w:highlight w:val="none"/>
        </w:rPr>
        <w:t>公用经费</w:t>
      </w:r>
      <w:r>
        <w:rPr>
          <w:rFonts w:hint="eastAsia" w:ascii="仿宋" w:hAnsi="仿宋" w:eastAsia="仿宋"/>
          <w:color w:val="auto"/>
          <w:sz w:val="32"/>
          <w:szCs w:val="32"/>
          <w:highlight w:val="none"/>
          <w:lang w:val="en-US" w:eastAsia="zh-CN"/>
        </w:rPr>
        <w:t>117</w:t>
      </w:r>
      <w:r>
        <w:rPr>
          <w:rFonts w:hint="eastAsia" w:ascii="仿宋" w:hAnsi="仿宋" w:eastAsia="仿宋"/>
          <w:color w:val="auto"/>
          <w:sz w:val="32"/>
          <w:szCs w:val="32"/>
          <w:highlight w:val="none"/>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pPr>
        <w:spacing w:line="600" w:lineRule="exact"/>
        <w:ind w:firstLine="640"/>
        <w:outlineLvl w:val="1"/>
        <w:rPr>
          <w:rStyle w:val="26"/>
          <w:rFonts w:ascii="黑体" w:hAnsi="黑体" w:eastAsia="黑体"/>
          <w:b w:val="0"/>
          <w:color w:val="auto"/>
          <w:highlight w:val="none"/>
        </w:rPr>
      </w:pPr>
      <w:bookmarkStart w:id="34" w:name="_Toc15377215"/>
      <w:bookmarkStart w:id="35" w:name="_Toc15396609"/>
      <w:r>
        <w:rPr>
          <w:rFonts w:hint="eastAsia" w:ascii="黑体" w:eastAsia="黑体"/>
          <w:color w:val="auto"/>
          <w:sz w:val="32"/>
          <w:szCs w:val="32"/>
          <w:highlight w:val="none"/>
        </w:rPr>
        <w:t>七</w:t>
      </w:r>
      <w:r>
        <w:rPr>
          <w:rFonts w:hint="eastAsia" w:ascii="黑体" w:eastAsia="黑体"/>
          <w:color w:val="auto"/>
          <w:sz w:val="32"/>
          <w:szCs w:val="32"/>
          <w:highlight w:val="none"/>
          <w:lang w:val="en-US" w:eastAsia="zh-CN"/>
        </w:rPr>
        <w:t>.</w:t>
      </w:r>
      <w:r>
        <w:rPr>
          <w:rStyle w:val="26"/>
          <w:rFonts w:hint="eastAsia" w:ascii="黑体" w:hAnsi="黑体" w:eastAsia="黑体"/>
          <w:color w:val="auto"/>
          <w:highlight w:val="none"/>
        </w:rPr>
        <w:t>“</w:t>
      </w:r>
      <w:r>
        <w:rPr>
          <w:rStyle w:val="26"/>
          <w:rFonts w:hint="eastAsia" w:ascii="黑体" w:hAnsi="黑体" w:eastAsia="黑体"/>
          <w:b w:val="0"/>
          <w:color w:val="auto"/>
          <w:highlight w:val="none"/>
        </w:rPr>
        <w:t>三公”经费财政拨款支出决算情况说明</w:t>
      </w:r>
      <w:bookmarkEnd w:id="34"/>
      <w:bookmarkEnd w:id="35"/>
    </w:p>
    <w:p>
      <w:pPr>
        <w:pStyle w:val="2"/>
        <w:ind w:left="0" w:leftChars="0" w:firstLine="640" w:firstLineChars="200"/>
      </w:pPr>
      <w:r>
        <w:rPr>
          <w:rFonts w:hint="eastAsia" w:ascii="仿宋_GB2312" w:hAnsi="Times New Roman" w:eastAsia="仿宋_GB2312" w:cs="Times New Roman"/>
          <w:color w:val="auto"/>
          <w:kern w:val="2"/>
          <w:sz w:val="32"/>
          <w:szCs w:val="32"/>
          <w:lang w:val="en-US" w:eastAsia="zh-CN" w:bidi="ar-SA"/>
        </w:rPr>
        <w:t>202</w:t>
      </w:r>
      <w:r>
        <w:rPr>
          <w:rFonts w:hint="eastAsia" w:ascii="仿宋_GB2312" w:eastAsia="仿宋_GB2312" w:cs="Times New Roman"/>
          <w:color w:val="auto"/>
          <w:kern w:val="2"/>
          <w:sz w:val="32"/>
          <w:szCs w:val="32"/>
          <w:lang w:val="en-US" w:eastAsia="zh-CN" w:bidi="ar-SA"/>
        </w:rPr>
        <w:t>1</w:t>
      </w:r>
      <w:r>
        <w:rPr>
          <w:rFonts w:hint="eastAsia" w:ascii="仿宋_GB2312" w:hAnsi="Times New Roman" w:eastAsia="仿宋_GB2312" w:cs="Times New Roman"/>
          <w:color w:val="auto"/>
          <w:kern w:val="2"/>
          <w:sz w:val="32"/>
          <w:szCs w:val="32"/>
          <w:lang w:val="en-US" w:eastAsia="zh-CN" w:bidi="ar-SA"/>
        </w:rPr>
        <w:t>年度本单位无“三公”经费财政拨款支出。本单位为事业单位，无三公经费,</w:t>
      </w:r>
      <w:r>
        <w:rPr>
          <w:rFonts w:hint="eastAsia" w:ascii="仿宋_GB2312" w:eastAsia="仿宋_GB2312" w:cs="Times New Roman"/>
          <w:color w:val="auto"/>
          <w:kern w:val="2"/>
          <w:sz w:val="32"/>
          <w:szCs w:val="32"/>
          <w:lang w:val="en-US" w:eastAsia="zh-CN" w:bidi="ar-SA"/>
        </w:rPr>
        <w:t>2020</w:t>
      </w:r>
      <w:r>
        <w:rPr>
          <w:rFonts w:hint="eastAsia" w:ascii="仿宋_GB2312" w:hAnsi="Times New Roman" w:eastAsia="仿宋_GB2312" w:cs="Times New Roman"/>
          <w:color w:val="auto"/>
          <w:kern w:val="2"/>
          <w:sz w:val="32"/>
          <w:szCs w:val="32"/>
          <w:lang w:val="en-US" w:eastAsia="zh-CN" w:bidi="ar-SA"/>
        </w:rPr>
        <w:t>年三公经费为0，202</w:t>
      </w:r>
      <w:r>
        <w:rPr>
          <w:rFonts w:hint="eastAsia" w:ascii="仿宋_GB2312" w:eastAsia="仿宋_GB2312" w:cs="Times New Roman"/>
          <w:color w:val="auto"/>
          <w:kern w:val="2"/>
          <w:sz w:val="32"/>
          <w:szCs w:val="32"/>
          <w:lang w:val="en-US" w:eastAsia="zh-CN" w:bidi="ar-SA"/>
        </w:rPr>
        <w:t>1</w:t>
      </w:r>
      <w:r>
        <w:rPr>
          <w:rFonts w:hint="eastAsia" w:ascii="仿宋_GB2312" w:hAnsi="Times New Roman" w:eastAsia="仿宋_GB2312" w:cs="Times New Roman"/>
          <w:color w:val="auto"/>
          <w:kern w:val="2"/>
          <w:sz w:val="32"/>
          <w:szCs w:val="32"/>
          <w:lang w:val="en-US" w:eastAsia="zh-CN" w:bidi="ar-SA"/>
        </w:rPr>
        <w:t>年三公经费为0，与上年度一致，与上年度相比无增减变化。</w:t>
      </w:r>
    </w:p>
    <w:p>
      <w:pPr>
        <w:spacing w:line="600" w:lineRule="exact"/>
        <w:ind w:firstLine="640"/>
        <w:outlineLvl w:val="1"/>
        <w:rPr>
          <w:rStyle w:val="26"/>
          <w:rFonts w:ascii="黑体" w:hAnsi="黑体" w:eastAsia="黑体"/>
          <w:color w:val="auto"/>
          <w:highlight w:val="none"/>
        </w:rPr>
      </w:pPr>
      <w:bookmarkStart w:id="36" w:name="_Toc15396610"/>
      <w:bookmarkStart w:id="37" w:name="_Toc15377218"/>
      <w:r>
        <w:rPr>
          <w:rFonts w:hint="eastAsia" w:ascii="黑体" w:eastAsia="黑体"/>
          <w:color w:val="auto"/>
          <w:sz w:val="32"/>
          <w:szCs w:val="32"/>
          <w:highlight w:val="none"/>
        </w:rPr>
        <w:t>八</w:t>
      </w:r>
      <w:r>
        <w:rPr>
          <w:rFonts w:hint="eastAsia" w:ascii="黑体" w:eastAsia="黑体"/>
          <w:color w:val="auto"/>
          <w:sz w:val="32"/>
          <w:szCs w:val="32"/>
          <w:highlight w:val="none"/>
          <w:lang w:val="en-US" w:eastAsia="zh-CN"/>
        </w:rPr>
        <w:t>.</w:t>
      </w:r>
      <w:r>
        <w:rPr>
          <w:rStyle w:val="26"/>
          <w:rFonts w:hint="eastAsia" w:ascii="黑体" w:hAnsi="黑体" w:eastAsia="黑体"/>
          <w:b w:val="0"/>
          <w:color w:val="auto"/>
          <w:highlight w:val="none"/>
        </w:rPr>
        <w:t>政府性基金预算支出决算情况说明</w:t>
      </w:r>
      <w:bookmarkEnd w:id="36"/>
      <w:bookmarkEnd w:id="37"/>
    </w:p>
    <w:p>
      <w:pPr>
        <w:spacing w:line="600" w:lineRule="exact"/>
        <w:ind w:firstLine="640"/>
        <w:rPr>
          <w:rFonts w:ascii="仿宋_GB2312" w:eastAsia="仿宋_GB2312"/>
          <w:color w:val="auto"/>
          <w:sz w:val="32"/>
          <w:szCs w:val="32"/>
          <w:highlight w:val="none"/>
        </w:rPr>
      </w:pPr>
      <w:r>
        <w:rPr>
          <w:rFonts w:ascii="仿宋_GB2312" w:eastAsia="仿宋_GB2312"/>
          <w:color w:val="auto"/>
          <w:sz w:val="32"/>
          <w:szCs w:val="32"/>
          <w:highlight w:val="none"/>
        </w:rPr>
        <w:t>20</w:t>
      </w:r>
      <w:r>
        <w:rPr>
          <w:rFonts w:hint="eastAsia" w:ascii="仿宋_GB2312" w:eastAsia="仿宋_GB2312"/>
          <w:color w:val="auto"/>
          <w:sz w:val="32"/>
          <w:szCs w:val="32"/>
          <w:highlight w:val="none"/>
          <w:lang w:val="en-US" w:eastAsia="zh-CN"/>
        </w:rPr>
        <w:t>21</w:t>
      </w:r>
      <w:r>
        <w:rPr>
          <w:rFonts w:hint="eastAsia" w:ascii="仿宋_GB2312" w:eastAsia="仿宋_GB2312"/>
          <w:color w:val="auto"/>
          <w:sz w:val="32"/>
          <w:szCs w:val="32"/>
          <w:highlight w:val="none"/>
        </w:rPr>
        <w:t>年政府性基金</w:t>
      </w:r>
      <w:r>
        <w:rPr>
          <w:rFonts w:hint="eastAsia" w:ascii="仿宋_GB2312" w:eastAsia="仿宋_GB2312"/>
          <w:color w:val="auto"/>
          <w:sz w:val="32"/>
          <w:szCs w:val="32"/>
        </w:rPr>
        <w:t>预算</w:t>
      </w:r>
      <w:r>
        <w:rPr>
          <w:rFonts w:hint="eastAsia" w:ascii="仿宋_GB2312" w:eastAsia="仿宋_GB2312"/>
          <w:color w:val="auto"/>
          <w:sz w:val="32"/>
          <w:szCs w:val="32"/>
          <w:lang w:eastAsia="zh-CN"/>
        </w:rPr>
        <w:t>财政</w:t>
      </w:r>
      <w:r>
        <w:rPr>
          <w:rFonts w:hint="eastAsia" w:ascii="仿宋_GB2312" w:eastAsia="仿宋_GB2312"/>
          <w:color w:val="auto"/>
          <w:sz w:val="32"/>
          <w:szCs w:val="32"/>
        </w:rPr>
        <w:t>拨款支出</w:t>
      </w:r>
      <w:r>
        <w:rPr>
          <w:rFonts w:hint="eastAsia" w:ascii="仿宋_GB2312" w:eastAsia="仿宋_GB2312"/>
          <w:color w:val="auto"/>
          <w:sz w:val="32"/>
          <w:szCs w:val="32"/>
          <w:lang w:val="en-US" w:eastAsia="zh-CN"/>
        </w:rPr>
        <w:t>0</w:t>
      </w:r>
      <w:r>
        <w:rPr>
          <w:rFonts w:hint="eastAsia" w:ascii="仿宋_GB2312" w:eastAsia="仿宋_GB2312"/>
          <w:color w:val="auto"/>
          <w:sz w:val="32"/>
          <w:szCs w:val="32"/>
        </w:rPr>
        <w:t>万元。</w:t>
      </w:r>
    </w:p>
    <w:p>
      <w:pPr>
        <w:numPr>
          <w:ilvl w:val="0"/>
          <w:numId w:val="0"/>
        </w:numPr>
        <w:spacing w:line="600" w:lineRule="exact"/>
        <w:ind w:firstLine="640" w:firstLineChars="200"/>
        <w:outlineLvl w:val="1"/>
        <w:rPr>
          <w:rStyle w:val="26"/>
          <w:rFonts w:ascii="黑体" w:hAnsi="黑体" w:eastAsia="黑体"/>
          <w:b w:val="0"/>
          <w:color w:val="auto"/>
          <w:highlight w:val="none"/>
        </w:rPr>
      </w:pPr>
      <w:bookmarkStart w:id="38" w:name="_Toc15377219"/>
      <w:bookmarkStart w:id="39" w:name="_Toc15396611"/>
      <w:r>
        <w:rPr>
          <w:rStyle w:val="26"/>
          <w:rFonts w:hint="eastAsia" w:ascii="黑体" w:hAnsi="黑体" w:eastAsia="黑体"/>
          <w:b w:val="0"/>
          <w:color w:val="auto"/>
          <w:highlight w:val="none"/>
          <w:lang w:eastAsia="zh-CN"/>
        </w:rPr>
        <w:t>九</w:t>
      </w:r>
      <w:r>
        <w:rPr>
          <w:rStyle w:val="26"/>
          <w:rFonts w:hint="eastAsia" w:ascii="黑体" w:hAnsi="黑体" w:eastAsia="黑体"/>
          <w:b w:val="0"/>
          <w:color w:val="auto"/>
          <w:highlight w:val="none"/>
          <w:lang w:val="en-US" w:eastAsia="zh-CN"/>
        </w:rPr>
        <w:t>.</w:t>
      </w:r>
      <w:r>
        <w:rPr>
          <w:rStyle w:val="26"/>
          <w:rFonts w:hint="eastAsia" w:ascii="黑体" w:hAnsi="黑体" w:eastAsia="黑体"/>
          <w:b w:val="0"/>
          <w:color w:val="auto"/>
          <w:highlight w:val="none"/>
        </w:rPr>
        <w:t>国有资本经营预算支出决算情况说明</w:t>
      </w:r>
      <w:bookmarkEnd w:id="38"/>
      <w:bookmarkEnd w:id="39"/>
    </w:p>
    <w:p>
      <w:pPr>
        <w:spacing w:line="600" w:lineRule="exact"/>
        <w:ind w:firstLine="640"/>
        <w:rPr>
          <w:rFonts w:ascii="方正小标宋简体" w:hAnsi="方正小标宋简体" w:eastAsia="方正小标宋简体" w:cs="方正小标宋简体"/>
          <w:color w:val="auto"/>
          <w:sz w:val="44"/>
          <w:szCs w:val="44"/>
          <w:highlight w:val="none"/>
        </w:rPr>
      </w:pPr>
      <w:r>
        <w:rPr>
          <w:rFonts w:ascii="仿宋_GB2312" w:eastAsia="仿宋_GB2312"/>
          <w:color w:val="auto"/>
          <w:sz w:val="32"/>
          <w:szCs w:val="32"/>
          <w:highlight w:val="none"/>
        </w:rPr>
        <w:t>20</w:t>
      </w:r>
      <w:r>
        <w:rPr>
          <w:rFonts w:hint="eastAsia" w:ascii="仿宋_GB2312" w:eastAsia="仿宋_GB2312"/>
          <w:color w:val="auto"/>
          <w:sz w:val="32"/>
          <w:szCs w:val="32"/>
          <w:highlight w:val="none"/>
          <w:lang w:val="en-US" w:eastAsia="zh-CN"/>
        </w:rPr>
        <w:t>21</w:t>
      </w:r>
      <w:r>
        <w:rPr>
          <w:rFonts w:hint="eastAsia" w:ascii="仿宋_GB2312" w:eastAsia="仿宋_GB2312"/>
          <w:color w:val="auto"/>
          <w:sz w:val="32"/>
          <w:szCs w:val="32"/>
          <w:highlight w:val="none"/>
        </w:rPr>
        <w:t>年国有资本经营预算</w:t>
      </w:r>
      <w:r>
        <w:rPr>
          <w:rFonts w:hint="eastAsia" w:ascii="仿宋_GB2312" w:eastAsia="仿宋_GB2312"/>
          <w:color w:val="auto"/>
          <w:sz w:val="32"/>
          <w:szCs w:val="32"/>
          <w:highlight w:val="none"/>
          <w:lang w:eastAsia="zh-CN"/>
        </w:rPr>
        <w:t>财政</w:t>
      </w:r>
      <w:r>
        <w:rPr>
          <w:rFonts w:hint="eastAsia" w:ascii="仿宋_GB2312" w:eastAsia="仿宋_GB2312"/>
          <w:color w:val="auto"/>
          <w:sz w:val="32"/>
          <w:szCs w:val="32"/>
          <w:highlight w:val="none"/>
        </w:rPr>
        <w:t>拨款支出</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万元。</w:t>
      </w:r>
    </w:p>
    <w:p>
      <w:pPr>
        <w:numPr>
          <w:ilvl w:val="0"/>
          <w:numId w:val="0"/>
        </w:numPr>
        <w:spacing w:line="600" w:lineRule="exact"/>
        <w:ind w:firstLine="640" w:firstLineChars="200"/>
        <w:outlineLvl w:val="1"/>
        <w:rPr>
          <w:rStyle w:val="26"/>
          <w:rFonts w:hint="eastAsia" w:ascii="黑体" w:hAnsi="黑体" w:eastAsia="黑体"/>
          <w:b w:val="0"/>
          <w:color w:val="auto"/>
          <w:highlight w:val="none"/>
        </w:rPr>
      </w:pPr>
      <w:bookmarkStart w:id="40" w:name="_Toc15396612"/>
      <w:bookmarkStart w:id="41" w:name="_Toc15377221"/>
      <w:r>
        <w:rPr>
          <w:rStyle w:val="26"/>
          <w:rFonts w:hint="eastAsia" w:ascii="黑体" w:hAnsi="黑体" w:eastAsia="黑体"/>
          <w:b w:val="0"/>
          <w:color w:val="auto"/>
          <w:highlight w:val="none"/>
          <w:lang w:eastAsia="zh-CN"/>
        </w:rPr>
        <w:t>十</w:t>
      </w:r>
      <w:r>
        <w:rPr>
          <w:rStyle w:val="26"/>
          <w:rFonts w:hint="eastAsia" w:ascii="黑体" w:hAnsi="黑体" w:eastAsia="黑体"/>
          <w:b w:val="0"/>
          <w:color w:val="auto"/>
          <w:highlight w:val="none"/>
          <w:lang w:val="en-US" w:eastAsia="zh-CN"/>
        </w:rPr>
        <w:t>.</w:t>
      </w:r>
      <w:r>
        <w:rPr>
          <w:rStyle w:val="26"/>
          <w:rFonts w:hint="eastAsia" w:ascii="黑体" w:hAnsi="黑体" w:eastAsia="黑体"/>
          <w:b w:val="0"/>
          <w:color w:val="auto"/>
          <w:highlight w:val="none"/>
        </w:rPr>
        <w:t>其他重要事项的情况说明</w:t>
      </w:r>
      <w:bookmarkEnd w:id="40"/>
      <w:bookmarkEnd w:id="41"/>
    </w:p>
    <w:p>
      <w:pPr>
        <w:spacing w:line="600" w:lineRule="exact"/>
        <w:ind w:firstLine="643" w:firstLineChars="200"/>
        <w:outlineLvl w:val="2"/>
        <w:rPr>
          <w:rFonts w:ascii="仿宋" w:hAnsi="仿宋" w:eastAsia="仿宋"/>
          <w:color w:val="auto"/>
          <w:sz w:val="32"/>
          <w:szCs w:val="32"/>
          <w:highlight w:val="none"/>
        </w:rPr>
      </w:pPr>
      <w:bookmarkStart w:id="42" w:name="_Toc15377222"/>
      <w:r>
        <w:rPr>
          <w:rFonts w:hint="eastAsia" w:ascii="仿宋" w:hAnsi="仿宋" w:eastAsia="仿宋"/>
          <w:b/>
          <w:color w:val="auto"/>
          <w:sz w:val="32"/>
          <w:szCs w:val="32"/>
          <w:highlight w:val="none"/>
        </w:rPr>
        <w:t>（一）机关运行经费支出情况</w:t>
      </w:r>
      <w:bookmarkEnd w:id="42"/>
    </w:p>
    <w:p>
      <w:pPr>
        <w:spacing w:line="600" w:lineRule="exact"/>
        <w:ind w:firstLine="640" w:firstLineChars="200"/>
        <w:rPr>
          <w:rFonts w:ascii="仿宋_GB2312" w:eastAsia="仿宋_GB2312"/>
          <w:color w:val="auto"/>
          <w:sz w:val="32"/>
          <w:szCs w:val="32"/>
        </w:rPr>
      </w:pPr>
      <w:r>
        <w:rPr>
          <w:rFonts w:ascii="仿宋_GB2312" w:eastAsia="仿宋_GB2312"/>
          <w:color w:val="auto"/>
          <w:sz w:val="32"/>
          <w:szCs w:val="32"/>
        </w:rPr>
        <w:t>20</w:t>
      </w:r>
      <w:r>
        <w:rPr>
          <w:rFonts w:hint="eastAsia" w:ascii="仿宋_GB2312" w:eastAsia="仿宋_GB2312"/>
          <w:color w:val="auto"/>
          <w:sz w:val="32"/>
          <w:szCs w:val="32"/>
          <w:lang w:val="en-US" w:eastAsia="zh-CN"/>
        </w:rPr>
        <w:t>21</w:t>
      </w:r>
      <w:r>
        <w:rPr>
          <w:rFonts w:hint="eastAsia" w:ascii="仿宋_GB2312" w:eastAsia="仿宋_GB2312"/>
          <w:color w:val="auto"/>
          <w:sz w:val="32"/>
          <w:szCs w:val="32"/>
        </w:rPr>
        <w:t>年</w:t>
      </w:r>
      <w:r>
        <w:rPr>
          <w:rFonts w:hint="eastAsia" w:ascii="仿宋_GB2312" w:eastAsia="仿宋_GB2312"/>
          <w:color w:val="auto"/>
          <w:sz w:val="32"/>
          <w:szCs w:val="32"/>
          <w:lang w:eastAsia="zh-CN"/>
        </w:rPr>
        <w:t>度本单位无</w:t>
      </w:r>
      <w:r>
        <w:rPr>
          <w:rFonts w:hint="eastAsia" w:ascii="仿宋_GB2312" w:eastAsia="仿宋_GB2312"/>
          <w:color w:val="auto"/>
          <w:sz w:val="32"/>
          <w:szCs w:val="32"/>
        </w:rPr>
        <w:t>机关运行经费支出。</w:t>
      </w:r>
    </w:p>
    <w:p>
      <w:pPr>
        <w:autoSpaceDE w:val="0"/>
        <w:autoSpaceDN w:val="0"/>
        <w:adjustRightInd w:val="0"/>
        <w:spacing w:line="600" w:lineRule="exact"/>
        <w:ind w:firstLine="643" w:firstLineChars="200"/>
        <w:jc w:val="left"/>
        <w:outlineLvl w:val="2"/>
        <w:rPr>
          <w:rFonts w:ascii="仿宋" w:hAnsi="仿宋" w:eastAsia="仿宋"/>
          <w:b/>
          <w:color w:val="auto"/>
          <w:sz w:val="32"/>
          <w:szCs w:val="32"/>
          <w:highlight w:val="none"/>
        </w:rPr>
      </w:pPr>
      <w:bookmarkStart w:id="43" w:name="_Toc15377223"/>
      <w:r>
        <w:rPr>
          <w:rFonts w:hint="eastAsia" w:ascii="仿宋" w:hAnsi="仿宋" w:eastAsia="仿宋"/>
          <w:b/>
          <w:color w:val="auto"/>
          <w:sz w:val="32"/>
          <w:szCs w:val="32"/>
          <w:highlight w:val="none"/>
        </w:rPr>
        <w:t>（二）政府采购支出情况</w:t>
      </w:r>
      <w:bookmarkEnd w:id="43"/>
    </w:p>
    <w:p>
      <w:pPr>
        <w:spacing w:line="60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20</w:t>
      </w:r>
      <w:r>
        <w:rPr>
          <w:rFonts w:hint="eastAsia" w:ascii="仿宋_GB2312" w:eastAsia="仿宋_GB2312"/>
          <w:color w:val="auto"/>
          <w:sz w:val="32"/>
          <w:szCs w:val="32"/>
          <w:highlight w:val="none"/>
          <w:lang w:val="en-US" w:eastAsia="zh-CN"/>
        </w:rPr>
        <w:t>21</w:t>
      </w:r>
      <w:r>
        <w:rPr>
          <w:rFonts w:hint="eastAsia" w:ascii="仿宋_GB2312" w:eastAsia="仿宋_GB2312"/>
          <w:color w:val="auto"/>
          <w:sz w:val="32"/>
          <w:szCs w:val="32"/>
          <w:highlight w:val="none"/>
        </w:rPr>
        <w:t>年</w:t>
      </w:r>
      <w:r>
        <w:rPr>
          <w:rFonts w:hint="eastAsia" w:ascii="仿宋_GB2312" w:eastAsia="仿宋_GB2312"/>
          <w:color w:val="auto"/>
          <w:sz w:val="32"/>
          <w:szCs w:val="32"/>
          <w:lang w:eastAsia="zh-CN"/>
        </w:rPr>
        <w:t>度本单位无</w:t>
      </w:r>
      <w:r>
        <w:rPr>
          <w:rFonts w:hint="eastAsia" w:ascii="仿宋_GB2312" w:eastAsia="仿宋_GB2312"/>
          <w:color w:val="auto"/>
          <w:sz w:val="32"/>
          <w:szCs w:val="32"/>
        </w:rPr>
        <w:t>政府采购支出。</w:t>
      </w:r>
    </w:p>
    <w:p>
      <w:pPr>
        <w:autoSpaceDE w:val="0"/>
        <w:autoSpaceDN w:val="0"/>
        <w:adjustRightInd w:val="0"/>
        <w:spacing w:line="600" w:lineRule="exact"/>
        <w:ind w:firstLine="643" w:firstLineChars="200"/>
        <w:jc w:val="left"/>
        <w:outlineLvl w:val="2"/>
        <w:rPr>
          <w:rFonts w:hint="eastAsia" w:ascii="仿宋_GB2312" w:eastAsia="仿宋_GB2312"/>
          <w:color w:val="auto"/>
          <w:sz w:val="32"/>
          <w:szCs w:val="32"/>
          <w:highlight w:val="none"/>
        </w:rPr>
      </w:pPr>
      <w:bookmarkStart w:id="44" w:name="_Toc15377224"/>
      <w:r>
        <w:rPr>
          <w:rFonts w:hint="eastAsia" w:ascii="仿宋" w:hAnsi="仿宋" w:eastAsia="仿宋"/>
          <w:b/>
          <w:color w:val="auto"/>
          <w:sz w:val="32"/>
          <w:szCs w:val="32"/>
          <w:highlight w:val="none"/>
        </w:rPr>
        <w:t>（三）国有资产占有使用情况</w:t>
      </w:r>
      <w:bookmarkEnd w:id="44"/>
    </w:p>
    <w:p>
      <w:pPr>
        <w:autoSpaceDE w:val="0"/>
        <w:autoSpaceDN w:val="0"/>
        <w:adjustRightInd w:val="0"/>
        <w:spacing w:line="600" w:lineRule="exact"/>
        <w:ind w:firstLine="640" w:firstLineChars="200"/>
        <w:jc w:val="left"/>
        <w:rPr>
          <w:rFonts w:hint="eastAsia" w:ascii="仿宋_GB2312" w:eastAsia="仿宋_GB2312"/>
          <w:color w:val="auto"/>
          <w:sz w:val="32"/>
          <w:szCs w:val="32"/>
        </w:rPr>
      </w:pPr>
      <w:r>
        <w:rPr>
          <w:rFonts w:hint="eastAsia" w:ascii="仿宋_GB2312" w:eastAsia="仿宋_GB2312"/>
          <w:color w:val="auto"/>
          <w:sz w:val="32"/>
          <w:szCs w:val="32"/>
        </w:rPr>
        <w:t>截至</w:t>
      </w:r>
      <w:r>
        <w:rPr>
          <w:rFonts w:ascii="仿宋_GB2312" w:eastAsia="仿宋_GB2312"/>
          <w:color w:val="auto"/>
          <w:sz w:val="32"/>
          <w:szCs w:val="32"/>
        </w:rPr>
        <w:t>20</w:t>
      </w:r>
      <w:r>
        <w:rPr>
          <w:rFonts w:hint="eastAsia" w:ascii="仿宋_GB2312" w:eastAsia="仿宋_GB2312"/>
          <w:color w:val="auto"/>
          <w:sz w:val="32"/>
          <w:szCs w:val="32"/>
          <w:lang w:val="en-US" w:eastAsia="zh-CN"/>
        </w:rPr>
        <w:t>21</w:t>
      </w:r>
      <w:r>
        <w:rPr>
          <w:rFonts w:hint="eastAsia" w:ascii="仿宋_GB2312" w:eastAsia="仿宋_GB2312"/>
          <w:color w:val="auto"/>
          <w:sz w:val="32"/>
          <w:szCs w:val="32"/>
        </w:rPr>
        <w:t>年</w:t>
      </w:r>
      <w:r>
        <w:rPr>
          <w:rFonts w:ascii="仿宋_GB2312" w:eastAsia="仿宋_GB2312"/>
          <w:color w:val="auto"/>
          <w:sz w:val="32"/>
          <w:szCs w:val="32"/>
        </w:rPr>
        <w:t>12</w:t>
      </w:r>
      <w:r>
        <w:rPr>
          <w:rFonts w:hint="eastAsia" w:ascii="仿宋_GB2312" w:eastAsia="仿宋_GB2312"/>
          <w:color w:val="auto"/>
          <w:sz w:val="32"/>
          <w:szCs w:val="32"/>
        </w:rPr>
        <w:t>月</w:t>
      </w:r>
      <w:r>
        <w:rPr>
          <w:rFonts w:ascii="仿宋_GB2312" w:eastAsia="仿宋_GB2312"/>
          <w:color w:val="auto"/>
          <w:sz w:val="32"/>
          <w:szCs w:val="32"/>
        </w:rPr>
        <w:t>31</w:t>
      </w:r>
      <w:r>
        <w:rPr>
          <w:rFonts w:hint="eastAsia" w:ascii="仿宋_GB2312" w:eastAsia="仿宋_GB2312"/>
          <w:color w:val="auto"/>
          <w:sz w:val="32"/>
          <w:szCs w:val="32"/>
        </w:rPr>
        <w:t>日，</w:t>
      </w:r>
      <w:r>
        <w:rPr>
          <w:rFonts w:hint="eastAsia" w:ascii="仿宋_GB2312" w:eastAsia="仿宋_GB2312"/>
          <w:color w:val="auto"/>
          <w:sz w:val="32"/>
          <w:szCs w:val="32"/>
          <w:lang w:val="en-US" w:eastAsia="zh-CN"/>
        </w:rPr>
        <w:t>108地质队</w:t>
      </w:r>
      <w:r>
        <w:rPr>
          <w:rFonts w:hint="eastAsia" w:ascii="仿宋_GB2312" w:eastAsia="仿宋_GB2312"/>
          <w:color w:val="auto"/>
          <w:sz w:val="32"/>
          <w:szCs w:val="32"/>
        </w:rPr>
        <w:t>共有车辆</w:t>
      </w:r>
      <w:r>
        <w:rPr>
          <w:rFonts w:hint="eastAsia" w:ascii="仿宋_GB2312" w:eastAsia="仿宋_GB2312"/>
          <w:color w:val="auto"/>
          <w:sz w:val="32"/>
          <w:szCs w:val="32"/>
          <w:lang w:val="en-US" w:eastAsia="zh-CN"/>
        </w:rPr>
        <w:t>7</w:t>
      </w:r>
      <w:r>
        <w:rPr>
          <w:rFonts w:hint="eastAsia" w:ascii="仿宋_GB2312" w:eastAsia="仿宋_GB2312"/>
          <w:color w:val="auto"/>
          <w:sz w:val="32"/>
          <w:szCs w:val="32"/>
        </w:rPr>
        <w:t>辆，其中：主要领导干部用车</w:t>
      </w:r>
      <w:r>
        <w:rPr>
          <w:rFonts w:hint="eastAsia" w:ascii="仿宋_GB2312" w:eastAsia="仿宋_GB2312"/>
          <w:color w:val="auto"/>
          <w:sz w:val="32"/>
          <w:szCs w:val="32"/>
          <w:lang w:val="en-US" w:eastAsia="zh-CN"/>
        </w:rPr>
        <w:t>0</w:t>
      </w:r>
      <w:r>
        <w:rPr>
          <w:rFonts w:hint="eastAsia" w:ascii="仿宋_GB2312" w:eastAsia="仿宋_GB2312"/>
          <w:color w:val="auto"/>
          <w:sz w:val="32"/>
          <w:szCs w:val="32"/>
        </w:rPr>
        <w:t>辆、机要通信用车</w:t>
      </w:r>
      <w:r>
        <w:rPr>
          <w:rFonts w:hint="eastAsia" w:ascii="仿宋_GB2312" w:eastAsia="仿宋_GB2312"/>
          <w:color w:val="auto"/>
          <w:sz w:val="32"/>
          <w:szCs w:val="32"/>
          <w:lang w:val="en-US" w:eastAsia="zh-CN"/>
        </w:rPr>
        <w:t>0</w:t>
      </w:r>
      <w:r>
        <w:rPr>
          <w:rFonts w:hint="eastAsia" w:ascii="仿宋_GB2312" w:eastAsia="仿宋_GB2312"/>
          <w:color w:val="auto"/>
          <w:sz w:val="32"/>
          <w:szCs w:val="32"/>
        </w:rPr>
        <w:t>辆、应急保障用车</w:t>
      </w:r>
      <w:r>
        <w:rPr>
          <w:rFonts w:hint="eastAsia" w:ascii="仿宋_GB2312" w:eastAsia="仿宋_GB2312"/>
          <w:color w:val="auto"/>
          <w:sz w:val="32"/>
          <w:szCs w:val="32"/>
          <w:lang w:val="en-US" w:eastAsia="zh-CN"/>
        </w:rPr>
        <w:t>0</w:t>
      </w:r>
      <w:r>
        <w:rPr>
          <w:rFonts w:hint="eastAsia" w:ascii="仿宋_GB2312" w:eastAsia="仿宋_GB2312"/>
          <w:color w:val="auto"/>
          <w:sz w:val="32"/>
          <w:szCs w:val="32"/>
        </w:rPr>
        <w:t>辆、其他用车</w:t>
      </w:r>
      <w:r>
        <w:rPr>
          <w:rFonts w:hint="eastAsia" w:ascii="仿宋_GB2312" w:eastAsia="仿宋_GB2312"/>
          <w:color w:val="auto"/>
          <w:sz w:val="32"/>
          <w:szCs w:val="32"/>
          <w:lang w:val="en-US" w:eastAsia="zh-CN"/>
        </w:rPr>
        <w:t>7</w:t>
      </w:r>
      <w:r>
        <w:rPr>
          <w:rFonts w:hint="eastAsia" w:ascii="仿宋_GB2312" w:eastAsia="仿宋_GB2312"/>
          <w:color w:val="auto"/>
          <w:sz w:val="32"/>
          <w:szCs w:val="32"/>
        </w:rPr>
        <w:t>辆</w:t>
      </w:r>
      <w:r>
        <w:rPr>
          <w:rFonts w:hint="eastAsia" w:ascii="仿宋_GB2312" w:eastAsia="仿宋_GB2312"/>
          <w:color w:val="auto"/>
          <w:sz w:val="32"/>
          <w:szCs w:val="32"/>
          <w:lang w:eastAsia="zh-CN"/>
        </w:rPr>
        <w:t>，</w:t>
      </w:r>
      <w:r>
        <w:rPr>
          <w:rFonts w:hint="eastAsia" w:ascii="仿宋_GB2312" w:eastAsia="仿宋_GB2312"/>
          <w:color w:val="auto"/>
          <w:sz w:val="32"/>
          <w:szCs w:val="32"/>
        </w:rPr>
        <w:t>其他用车主要是用于</w:t>
      </w:r>
      <w:r>
        <w:rPr>
          <w:rFonts w:hint="eastAsia" w:ascii="仿宋_GB2312" w:eastAsia="仿宋_GB2312"/>
          <w:color w:val="auto"/>
          <w:sz w:val="32"/>
          <w:szCs w:val="32"/>
          <w:lang w:eastAsia="zh-CN"/>
        </w:rPr>
        <w:t>单位野外业务用车。</w:t>
      </w:r>
      <w:r>
        <w:rPr>
          <w:rFonts w:hint="eastAsia" w:ascii="仿宋_GB2312" w:eastAsia="仿宋_GB2312"/>
          <w:color w:val="auto"/>
          <w:sz w:val="32"/>
          <w:szCs w:val="32"/>
        </w:rPr>
        <w:t>单价</w:t>
      </w:r>
      <w:r>
        <w:rPr>
          <w:rFonts w:ascii="仿宋_GB2312" w:eastAsia="仿宋_GB2312"/>
          <w:color w:val="auto"/>
          <w:sz w:val="32"/>
          <w:szCs w:val="32"/>
        </w:rPr>
        <w:t>50</w:t>
      </w:r>
      <w:r>
        <w:rPr>
          <w:rFonts w:hint="eastAsia" w:ascii="仿宋_GB2312" w:eastAsia="仿宋_GB2312"/>
          <w:color w:val="auto"/>
          <w:sz w:val="32"/>
          <w:szCs w:val="32"/>
        </w:rPr>
        <w:t>万元以上通用设备</w:t>
      </w:r>
      <w:r>
        <w:rPr>
          <w:rFonts w:hint="eastAsia" w:ascii="仿宋_GB2312" w:eastAsia="仿宋_GB2312"/>
          <w:color w:val="auto"/>
          <w:sz w:val="32"/>
          <w:szCs w:val="32"/>
          <w:lang w:val="en-US" w:eastAsia="zh-CN"/>
        </w:rPr>
        <w:t>0</w:t>
      </w:r>
      <w:r>
        <w:rPr>
          <w:rFonts w:hint="eastAsia" w:ascii="仿宋_GB2312" w:eastAsia="仿宋_GB2312"/>
          <w:color w:val="auto"/>
          <w:sz w:val="32"/>
          <w:szCs w:val="32"/>
        </w:rPr>
        <w:t>台（套），单价</w:t>
      </w:r>
      <w:r>
        <w:rPr>
          <w:rFonts w:ascii="仿宋_GB2312" w:eastAsia="仿宋_GB2312"/>
          <w:color w:val="auto"/>
          <w:sz w:val="32"/>
          <w:szCs w:val="32"/>
        </w:rPr>
        <w:t>100</w:t>
      </w:r>
      <w:r>
        <w:rPr>
          <w:rFonts w:hint="eastAsia" w:ascii="仿宋_GB2312" w:eastAsia="仿宋_GB2312"/>
          <w:color w:val="auto"/>
          <w:sz w:val="32"/>
          <w:szCs w:val="32"/>
        </w:rPr>
        <w:t>万元以上专用设备</w:t>
      </w:r>
      <w:r>
        <w:rPr>
          <w:rFonts w:hint="eastAsia" w:ascii="仿宋_GB2312" w:eastAsia="仿宋_GB2312"/>
          <w:color w:val="auto"/>
          <w:sz w:val="32"/>
          <w:szCs w:val="32"/>
          <w:lang w:val="en-US" w:eastAsia="zh-CN"/>
        </w:rPr>
        <w:t>0</w:t>
      </w:r>
      <w:r>
        <w:rPr>
          <w:rFonts w:hint="eastAsia" w:ascii="仿宋_GB2312" w:eastAsia="仿宋_GB2312"/>
          <w:color w:val="auto"/>
          <w:sz w:val="32"/>
          <w:szCs w:val="32"/>
        </w:rPr>
        <w:t>台（套）。</w:t>
      </w:r>
    </w:p>
    <w:p>
      <w:pPr>
        <w:autoSpaceDE w:val="0"/>
        <w:autoSpaceDN w:val="0"/>
        <w:adjustRightInd w:val="0"/>
        <w:spacing w:line="600" w:lineRule="exact"/>
        <w:ind w:firstLine="643" w:firstLineChars="200"/>
        <w:jc w:val="left"/>
        <w:outlineLvl w:val="2"/>
        <w:rPr>
          <w:rFonts w:hint="eastAsia" w:ascii="仿宋" w:hAnsi="仿宋" w:eastAsia="仿宋"/>
          <w:b/>
          <w:color w:val="auto"/>
          <w:sz w:val="32"/>
          <w:szCs w:val="32"/>
          <w:highlight w:val="none"/>
          <w:lang w:eastAsia="zh-CN"/>
        </w:rPr>
      </w:pPr>
      <w:r>
        <w:rPr>
          <w:rFonts w:hint="eastAsia" w:ascii="仿宋" w:hAnsi="仿宋" w:eastAsia="仿宋"/>
          <w:b/>
          <w:color w:val="auto"/>
          <w:sz w:val="32"/>
          <w:szCs w:val="32"/>
          <w:highlight w:val="none"/>
        </w:rPr>
        <w:t>（四）预算绩效管理情况</w:t>
      </w:r>
    </w:p>
    <w:p>
      <w:pPr>
        <w:spacing w:line="58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rPr>
        <w:t>根据预算绩效管理要求，本单位在</w:t>
      </w:r>
      <w:r>
        <w:rPr>
          <w:rFonts w:hint="eastAsia" w:ascii="仿宋_GB2312" w:hAnsi="仿宋_GB2312" w:eastAsia="仿宋_GB2312" w:cs="仿宋_GB2312"/>
          <w:color w:val="auto"/>
          <w:sz w:val="32"/>
          <w:szCs w:val="32"/>
          <w:lang w:val="en-US" w:eastAsia="zh-CN"/>
        </w:rPr>
        <w:t>2021年度</w:t>
      </w:r>
      <w:r>
        <w:rPr>
          <w:rFonts w:hint="eastAsia" w:ascii="仿宋_GB2312" w:hAnsi="仿宋_GB2312" w:eastAsia="仿宋_GB2312" w:cs="仿宋_GB2312"/>
          <w:color w:val="auto"/>
          <w:sz w:val="32"/>
          <w:szCs w:val="32"/>
        </w:rPr>
        <w:t>预算编制阶段，</w:t>
      </w:r>
      <w:r>
        <w:rPr>
          <w:rFonts w:hint="eastAsia" w:ascii="仿宋_GB2312" w:hAnsi="仿宋_GB2312" w:eastAsia="仿宋_GB2312" w:cs="仿宋_GB2312"/>
          <w:color w:val="auto"/>
          <w:sz w:val="32"/>
          <w:szCs w:val="32"/>
          <w:lang w:eastAsia="zh-CN"/>
        </w:rPr>
        <w:t>所有</w:t>
      </w:r>
      <w:r>
        <w:rPr>
          <w:rFonts w:hint="eastAsia" w:ascii="仿宋_GB2312" w:hAnsi="仿宋_GB2312" w:eastAsia="仿宋_GB2312" w:cs="仿宋_GB2312"/>
          <w:color w:val="auto"/>
          <w:sz w:val="32"/>
          <w:szCs w:val="32"/>
        </w:rPr>
        <w:t>项目</w:t>
      </w:r>
      <w:r>
        <w:rPr>
          <w:rFonts w:hint="eastAsia" w:ascii="仿宋_GB2312" w:hAnsi="仿宋_GB2312" w:eastAsia="仿宋_GB2312" w:cs="仿宋_GB2312"/>
          <w:color w:val="auto"/>
          <w:sz w:val="32"/>
          <w:szCs w:val="32"/>
          <w:lang w:eastAsia="zh-CN"/>
        </w:rPr>
        <w:t>都不涉及</w:t>
      </w:r>
      <w:r>
        <w:rPr>
          <w:rFonts w:hint="eastAsia" w:ascii="仿宋_GB2312" w:hAnsi="仿宋_GB2312" w:eastAsia="仿宋_GB2312" w:cs="仿宋_GB2312"/>
          <w:color w:val="auto"/>
          <w:sz w:val="32"/>
          <w:szCs w:val="32"/>
        </w:rPr>
        <w:t>编制绩效目标</w:t>
      </w:r>
      <w:r>
        <w:rPr>
          <w:rFonts w:hint="eastAsia" w:ascii="仿宋_GB2312" w:hAnsi="仿宋_GB2312" w:eastAsia="仿宋_GB2312" w:cs="仿宋_GB2312"/>
          <w:color w:val="auto"/>
          <w:sz w:val="32"/>
          <w:szCs w:val="32"/>
          <w:lang w:eastAsia="zh-CN"/>
        </w:rPr>
        <w:t>。</w:t>
      </w:r>
    </w:p>
    <w:p>
      <w:pPr>
        <w:widowControl/>
        <w:jc w:val="left"/>
        <w:rPr>
          <w:rFonts w:ascii="仿宋_GB2312" w:eastAsia="仿宋_GB2312"/>
          <w:b/>
          <w:color w:val="auto"/>
          <w:sz w:val="32"/>
          <w:szCs w:val="32"/>
          <w:highlight w:val="none"/>
        </w:rPr>
      </w:pPr>
      <w:r>
        <w:rPr>
          <w:rFonts w:ascii="仿宋_GB2312" w:eastAsia="仿宋_GB2312"/>
          <w:b/>
          <w:color w:val="auto"/>
          <w:sz w:val="32"/>
          <w:szCs w:val="32"/>
          <w:highlight w:val="none"/>
        </w:rPr>
        <w:br w:type="page"/>
      </w:r>
    </w:p>
    <w:p>
      <w:pPr>
        <w:numPr>
          <w:ilvl w:val="0"/>
          <w:numId w:val="1"/>
        </w:numPr>
        <w:spacing w:line="600" w:lineRule="exact"/>
        <w:ind w:firstLine="660" w:firstLineChars="150"/>
        <w:jc w:val="center"/>
        <w:outlineLvl w:val="0"/>
        <w:rPr>
          <w:rStyle w:val="25"/>
          <w:rFonts w:ascii="黑体" w:hAnsi="黑体" w:eastAsia="黑体"/>
          <w:b w:val="0"/>
          <w:color w:val="auto"/>
          <w:highlight w:val="none"/>
        </w:rPr>
      </w:pPr>
      <w:bookmarkStart w:id="45" w:name="_Toc15377225"/>
      <w:bookmarkStart w:id="46" w:name="_Toc15396613"/>
      <w:r>
        <w:rPr>
          <w:rFonts w:hint="eastAsia" w:ascii="黑体" w:hAnsi="黑体" w:eastAsia="黑体"/>
          <w:color w:val="auto"/>
          <w:sz w:val="44"/>
          <w:szCs w:val="44"/>
          <w:highlight w:val="none"/>
        </w:rPr>
        <w:t>名</w:t>
      </w:r>
      <w:r>
        <w:rPr>
          <w:rStyle w:val="25"/>
          <w:rFonts w:hint="eastAsia" w:ascii="黑体" w:hAnsi="黑体" w:eastAsia="黑体"/>
          <w:b w:val="0"/>
          <w:color w:val="auto"/>
          <w:highlight w:val="none"/>
        </w:rPr>
        <w:t>词解释</w:t>
      </w:r>
      <w:bookmarkEnd w:id="45"/>
      <w:bookmarkEnd w:id="46"/>
    </w:p>
    <w:p>
      <w:pPr>
        <w:spacing w:line="600" w:lineRule="exact"/>
        <w:jc w:val="left"/>
        <w:rPr>
          <w:rFonts w:ascii="宋体"/>
          <w:b/>
          <w:color w:val="auto"/>
          <w:sz w:val="44"/>
          <w:szCs w:val="44"/>
          <w:highlight w:val="none"/>
        </w:rPr>
      </w:pPr>
    </w:p>
    <w:p>
      <w:pPr>
        <w:pStyle w:val="23"/>
        <w:spacing w:line="560" w:lineRule="exact"/>
        <w:ind w:firstLine="640" w:firstLineChars="200"/>
        <w:rPr>
          <w:rFonts w:ascii="仿宋_GB2312" w:eastAsia="仿宋_GB2312"/>
          <w:sz w:val="32"/>
          <w:szCs w:val="32"/>
        </w:rPr>
      </w:pPr>
      <w:r>
        <w:rPr>
          <w:rFonts w:ascii="仿宋_GB2312" w:eastAsia="仿宋_GB2312"/>
          <w:sz w:val="32"/>
          <w:szCs w:val="32"/>
        </w:rPr>
        <w:t>1.</w:t>
      </w:r>
      <w:r>
        <w:rPr>
          <w:rFonts w:hint="eastAsia" w:ascii="仿宋_GB2312" w:eastAsia="仿宋_GB2312"/>
          <w:sz w:val="32"/>
          <w:szCs w:val="32"/>
        </w:rPr>
        <w:t>财政拨款收入：指单位从同级财政部门取得的财政预算资金。</w:t>
      </w:r>
    </w:p>
    <w:p>
      <w:pPr>
        <w:pStyle w:val="23"/>
        <w:spacing w:line="560" w:lineRule="exact"/>
        <w:ind w:firstLine="640" w:firstLineChars="200"/>
        <w:rPr>
          <w:rFonts w:hint="eastAsia" w:ascii="仿宋_GB2312" w:eastAsia="仿宋"/>
          <w:sz w:val="32"/>
          <w:szCs w:val="32"/>
          <w:lang w:eastAsia="zh-CN"/>
        </w:rPr>
      </w:pPr>
      <w:r>
        <w:rPr>
          <w:rFonts w:hint="eastAsia" w:ascii="仿宋_GB2312" w:eastAsia="仿宋_GB2312"/>
          <w:sz w:val="32"/>
          <w:szCs w:val="32"/>
          <w:lang w:val="en-US" w:eastAsia="zh-CN"/>
        </w:rPr>
        <w:t>2</w:t>
      </w:r>
      <w:r>
        <w:rPr>
          <w:rFonts w:ascii="仿宋_GB2312" w:eastAsia="仿宋_GB2312"/>
          <w:sz w:val="32"/>
          <w:szCs w:val="32"/>
        </w:rPr>
        <w:t>.</w:t>
      </w:r>
      <w:r>
        <w:rPr>
          <w:rFonts w:hint="eastAsia" w:ascii="仿宋_GB2312" w:eastAsia="仿宋_GB2312"/>
          <w:sz w:val="32"/>
          <w:szCs w:val="32"/>
        </w:rPr>
        <w:t>经营收入：指事业单位在专业业务活动及其辅助活动之外开展非独立核算经营活动取得的收入。</w:t>
      </w:r>
      <w:r>
        <w:rPr>
          <w:rFonts w:hint="eastAsia" w:hAnsi="仿宋"/>
          <w:sz w:val="32"/>
          <w:szCs w:val="32"/>
        </w:rPr>
        <w:t>如单位开展</w:t>
      </w:r>
      <w:r>
        <w:rPr>
          <w:rFonts w:hint="eastAsia" w:hAnsi="仿宋"/>
          <w:sz w:val="32"/>
          <w:szCs w:val="32"/>
          <w:lang w:eastAsia="zh-CN"/>
        </w:rPr>
        <w:t>勘察钻探施工</w:t>
      </w:r>
      <w:r>
        <w:rPr>
          <w:rFonts w:hint="eastAsia" w:hAnsi="仿宋"/>
          <w:sz w:val="32"/>
          <w:szCs w:val="32"/>
        </w:rPr>
        <w:t>取得的收入等</w:t>
      </w:r>
      <w:r>
        <w:rPr>
          <w:rFonts w:hint="eastAsia" w:hAnsi="仿宋"/>
          <w:sz w:val="32"/>
          <w:szCs w:val="32"/>
          <w:lang w:eastAsia="zh-CN"/>
        </w:rPr>
        <w:t>。</w:t>
      </w:r>
    </w:p>
    <w:p>
      <w:pPr>
        <w:pStyle w:val="23"/>
        <w:spacing w:line="560" w:lineRule="exact"/>
        <w:ind w:firstLine="640" w:firstLineChars="200"/>
        <w:rPr>
          <w:rFonts w:ascii="仿宋_GB2312" w:eastAsia="仿宋_GB2312"/>
          <w:sz w:val="32"/>
          <w:szCs w:val="32"/>
        </w:rPr>
      </w:pPr>
      <w:r>
        <w:rPr>
          <w:rFonts w:hint="eastAsia" w:ascii="仿宋_GB2312" w:eastAsia="仿宋_GB2312"/>
          <w:sz w:val="32"/>
          <w:szCs w:val="32"/>
          <w:lang w:val="en-US" w:eastAsia="zh-CN"/>
        </w:rPr>
        <w:t>3</w:t>
      </w:r>
      <w:r>
        <w:rPr>
          <w:rFonts w:ascii="仿宋_GB2312" w:eastAsia="仿宋_GB2312"/>
          <w:sz w:val="32"/>
          <w:szCs w:val="32"/>
        </w:rPr>
        <w:t>.</w:t>
      </w:r>
      <w:r>
        <w:rPr>
          <w:rFonts w:hint="eastAsia" w:ascii="仿宋_GB2312" w:eastAsia="仿宋_GB2312"/>
          <w:sz w:val="32"/>
          <w:szCs w:val="32"/>
        </w:rPr>
        <w:t>其他收入：指单位取得的除上述收入以外的各项收入。主要是</w:t>
      </w:r>
      <w:r>
        <w:rPr>
          <w:rFonts w:hint="eastAsia" w:ascii="仿宋_GB2312" w:eastAsia="仿宋_GB2312"/>
          <w:sz w:val="32"/>
          <w:szCs w:val="32"/>
          <w:lang w:eastAsia="zh-CN"/>
        </w:rPr>
        <w:t>债务预算收入</w:t>
      </w:r>
      <w:r>
        <w:rPr>
          <w:rFonts w:hint="eastAsia" w:ascii="仿宋_GB2312" w:eastAsia="仿宋_GB2312"/>
          <w:sz w:val="32"/>
          <w:szCs w:val="32"/>
        </w:rPr>
        <w:t>等。</w:t>
      </w:r>
      <w:r>
        <w:rPr>
          <w:rFonts w:ascii="仿宋_GB2312" w:eastAsia="仿宋_GB2312"/>
          <w:sz w:val="32"/>
          <w:szCs w:val="32"/>
        </w:rPr>
        <w:t xml:space="preserve"> </w:t>
      </w:r>
    </w:p>
    <w:p>
      <w:pPr>
        <w:pStyle w:val="23"/>
        <w:spacing w:line="560" w:lineRule="exact"/>
        <w:ind w:firstLine="640" w:firstLineChars="200"/>
        <w:rPr>
          <w:rFonts w:ascii="仿宋_GB2312" w:eastAsia="仿宋_GB2312"/>
          <w:sz w:val="32"/>
          <w:szCs w:val="32"/>
        </w:rPr>
      </w:pPr>
      <w:r>
        <w:rPr>
          <w:rFonts w:ascii="仿宋_GB2312" w:eastAsia="仿宋_GB2312"/>
          <w:sz w:val="32"/>
          <w:szCs w:val="32"/>
        </w:rPr>
        <w:t>5.</w:t>
      </w:r>
      <w:r>
        <w:rPr>
          <w:rFonts w:hint="eastAsia" w:ascii="仿宋_GB2312" w:eastAsia="仿宋_GB2312"/>
          <w:sz w:val="32"/>
          <w:szCs w:val="32"/>
          <w:lang w:eastAsia="zh-CN"/>
        </w:rPr>
        <w:t>使用非财政拨款结余</w:t>
      </w:r>
      <w:r>
        <w:rPr>
          <w:rFonts w:hint="eastAsia" w:ascii="仿宋_GB2312" w:eastAsia="仿宋_GB2312"/>
          <w:sz w:val="32"/>
          <w:szCs w:val="32"/>
        </w:rPr>
        <w:t>：指事业单位</w:t>
      </w:r>
      <w:r>
        <w:rPr>
          <w:rFonts w:hint="eastAsia" w:ascii="仿宋_GB2312" w:eastAsia="仿宋_GB2312"/>
          <w:sz w:val="32"/>
          <w:szCs w:val="32"/>
          <w:lang w:eastAsia="zh-CN"/>
        </w:rPr>
        <w:t>使用以前年度积累的非财政拨款结余弥补当年收支差额的金额。</w:t>
      </w:r>
      <w:r>
        <w:rPr>
          <w:rFonts w:ascii="仿宋_GB2312" w:eastAsia="仿宋_GB2312"/>
          <w:sz w:val="32"/>
          <w:szCs w:val="32"/>
        </w:rPr>
        <w:t xml:space="preserve"> </w:t>
      </w:r>
    </w:p>
    <w:p>
      <w:pPr>
        <w:pStyle w:val="23"/>
        <w:spacing w:line="560" w:lineRule="exact"/>
        <w:ind w:firstLine="640" w:firstLineChars="200"/>
        <w:rPr>
          <w:rFonts w:ascii="仿宋_GB2312" w:eastAsia="仿宋_GB2312"/>
          <w:sz w:val="32"/>
          <w:szCs w:val="32"/>
        </w:rPr>
      </w:pPr>
      <w:r>
        <w:rPr>
          <w:rFonts w:ascii="仿宋_GB2312" w:eastAsia="仿宋_GB2312"/>
          <w:sz w:val="32"/>
          <w:szCs w:val="32"/>
        </w:rPr>
        <w:t>6.</w:t>
      </w:r>
      <w:r>
        <w:rPr>
          <w:rFonts w:hint="eastAsia" w:ascii="仿宋_GB2312" w:eastAsia="仿宋_GB2312"/>
          <w:sz w:val="32"/>
          <w:szCs w:val="32"/>
        </w:rPr>
        <w:t>年初结转和结余：指以前年度尚未完成、结转到本年按有关规定继续使用的资金。</w:t>
      </w:r>
      <w:r>
        <w:rPr>
          <w:rFonts w:ascii="仿宋_GB2312" w:eastAsia="仿宋_GB2312"/>
          <w:sz w:val="32"/>
          <w:szCs w:val="32"/>
        </w:rPr>
        <w:t xml:space="preserve"> </w:t>
      </w:r>
    </w:p>
    <w:p>
      <w:pPr>
        <w:pStyle w:val="23"/>
        <w:spacing w:line="560" w:lineRule="exact"/>
        <w:ind w:firstLine="640" w:firstLineChars="200"/>
        <w:rPr>
          <w:rFonts w:ascii="仿宋_GB2312" w:eastAsia="仿宋_GB2312"/>
          <w:sz w:val="32"/>
          <w:szCs w:val="32"/>
        </w:rPr>
      </w:pPr>
      <w:r>
        <w:rPr>
          <w:rFonts w:ascii="仿宋_GB2312" w:eastAsia="仿宋_GB2312"/>
          <w:sz w:val="32"/>
          <w:szCs w:val="32"/>
        </w:rPr>
        <w:t>7.</w:t>
      </w:r>
      <w:r>
        <w:rPr>
          <w:rFonts w:hint="eastAsia" w:ascii="仿宋_GB2312" w:eastAsia="仿宋_GB2312"/>
          <w:sz w:val="32"/>
          <w:szCs w:val="32"/>
        </w:rPr>
        <w:t>结余分配：指事业单位按照会计制度规定</w:t>
      </w:r>
      <w:r>
        <w:rPr>
          <w:rFonts w:hint="eastAsia" w:ascii="仿宋_GB2312" w:eastAsia="仿宋_GB2312"/>
          <w:sz w:val="32"/>
          <w:szCs w:val="32"/>
          <w:lang w:eastAsia="zh-CN"/>
        </w:rPr>
        <w:t>缴纳的所得税、提取的专用结余以及转入非财政拨款结余的金额</w:t>
      </w:r>
      <w:r>
        <w:rPr>
          <w:rFonts w:hint="eastAsia" w:ascii="仿宋_GB2312" w:eastAsia="仿宋_GB2312"/>
          <w:sz w:val="32"/>
          <w:szCs w:val="32"/>
        </w:rPr>
        <w:t>等。</w:t>
      </w:r>
    </w:p>
    <w:p>
      <w:pPr>
        <w:pStyle w:val="23"/>
        <w:spacing w:line="560" w:lineRule="exact"/>
        <w:ind w:firstLine="640" w:firstLineChars="200"/>
        <w:rPr>
          <w:rFonts w:hint="eastAsia" w:ascii="仿宋_GB2312" w:eastAsia="仿宋_GB2312"/>
          <w:sz w:val="32"/>
          <w:szCs w:val="32"/>
        </w:rPr>
      </w:pPr>
      <w:r>
        <w:rPr>
          <w:rFonts w:ascii="仿宋_GB2312" w:eastAsia="仿宋_GB2312"/>
          <w:sz w:val="32"/>
          <w:szCs w:val="32"/>
        </w:rPr>
        <w:t>8</w:t>
      </w:r>
      <w:r>
        <w:rPr>
          <w:rFonts w:hint="eastAsia" w:ascii="仿宋_GB2312" w:eastAsia="仿宋_GB2312"/>
          <w:sz w:val="32"/>
          <w:szCs w:val="32"/>
        </w:rPr>
        <w:t>、年末结转和结余：指单位按有关规定结转到下年或以后年度继续使用的资金。</w:t>
      </w:r>
    </w:p>
    <w:p>
      <w:pPr>
        <w:spacing w:line="600" w:lineRule="exact"/>
        <w:ind w:firstLine="640" w:firstLineChars="200"/>
        <w:rPr>
          <w:rFonts w:ascii="仿宋" w:hAnsi="仿宋" w:eastAsia="仿宋"/>
          <w:color w:val="000000"/>
          <w:sz w:val="32"/>
          <w:szCs w:val="32"/>
        </w:rPr>
      </w:pPr>
      <w:r>
        <w:rPr>
          <w:rFonts w:hint="eastAsia" w:ascii="仿宋" w:hAnsi="仿宋" w:eastAsia="仿宋"/>
          <w:color w:val="000000"/>
          <w:sz w:val="32"/>
          <w:szCs w:val="32"/>
          <w:lang w:val="en-US" w:eastAsia="zh-CN"/>
        </w:rPr>
        <w:t>9</w:t>
      </w:r>
      <w:r>
        <w:rPr>
          <w:rFonts w:ascii="仿宋" w:hAnsi="仿宋" w:eastAsia="仿宋"/>
          <w:color w:val="000000"/>
          <w:sz w:val="32"/>
          <w:szCs w:val="32"/>
        </w:rPr>
        <w:t>.</w:t>
      </w:r>
      <w:r>
        <w:rPr>
          <w:rFonts w:hint="eastAsia" w:ascii="仿宋" w:hAnsi="仿宋" w:eastAsia="仿宋"/>
          <w:color w:val="000000"/>
          <w:sz w:val="32"/>
          <w:szCs w:val="32"/>
        </w:rPr>
        <w:t>社会保障和就业支出（类）行政事业单位养老支出（款）事业单位离退休（项）：指单位的离退休人员的支出。</w:t>
      </w:r>
    </w:p>
    <w:p>
      <w:pPr>
        <w:spacing w:line="600" w:lineRule="exact"/>
        <w:ind w:firstLine="640" w:firstLineChars="200"/>
        <w:rPr>
          <w:rFonts w:ascii="仿宋" w:hAnsi="仿宋" w:eastAsia="仿宋"/>
          <w:color w:val="000000"/>
          <w:sz w:val="32"/>
          <w:szCs w:val="32"/>
        </w:rPr>
      </w:pPr>
      <w:r>
        <w:rPr>
          <w:rFonts w:hint="eastAsia" w:ascii="仿宋" w:hAnsi="仿宋" w:eastAsia="仿宋"/>
          <w:color w:val="000000"/>
          <w:sz w:val="32"/>
          <w:szCs w:val="32"/>
          <w:lang w:val="en-US" w:eastAsia="zh-CN"/>
        </w:rPr>
        <w:t>10</w:t>
      </w:r>
      <w:r>
        <w:rPr>
          <w:rFonts w:ascii="仿宋" w:hAnsi="仿宋" w:eastAsia="仿宋"/>
          <w:color w:val="000000"/>
          <w:sz w:val="32"/>
          <w:szCs w:val="32"/>
        </w:rPr>
        <w:t>.</w:t>
      </w:r>
      <w:r>
        <w:rPr>
          <w:rFonts w:hint="eastAsia" w:ascii="仿宋" w:hAnsi="仿宋" w:eastAsia="仿宋"/>
          <w:color w:val="000000"/>
          <w:sz w:val="32"/>
          <w:szCs w:val="32"/>
        </w:rPr>
        <w:t xml:space="preserve"> 社会保障和就业支出（类）行政事业单位养老支出（款）机关事业单位基本养老保险缴费支出（项）：指实施养老保险制度，由单位缴纳的养老保险费支出。</w:t>
      </w:r>
    </w:p>
    <w:p>
      <w:pPr>
        <w:spacing w:line="600" w:lineRule="exact"/>
        <w:ind w:firstLine="640" w:firstLineChars="200"/>
        <w:rPr>
          <w:rFonts w:ascii="仿宋" w:hAnsi="仿宋" w:eastAsia="仿宋"/>
          <w:color w:val="000000"/>
          <w:sz w:val="32"/>
          <w:szCs w:val="32"/>
        </w:rPr>
      </w:pPr>
      <w:r>
        <w:rPr>
          <w:rFonts w:hint="eastAsia" w:ascii="仿宋" w:hAnsi="仿宋" w:eastAsia="仿宋"/>
          <w:color w:val="000000"/>
          <w:sz w:val="32"/>
          <w:szCs w:val="32"/>
          <w:lang w:val="en-US" w:eastAsia="zh-CN"/>
        </w:rPr>
        <w:t>11</w:t>
      </w:r>
      <w:r>
        <w:rPr>
          <w:rFonts w:ascii="仿宋" w:hAnsi="仿宋" w:eastAsia="仿宋"/>
          <w:color w:val="000000"/>
          <w:sz w:val="32"/>
          <w:szCs w:val="32"/>
        </w:rPr>
        <w:t>.</w:t>
      </w:r>
      <w:r>
        <w:rPr>
          <w:rFonts w:hint="eastAsia" w:ascii="仿宋" w:hAnsi="仿宋" w:eastAsia="仿宋"/>
          <w:color w:val="000000"/>
          <w:sz w:val="32"/>
          <w:szCs w:val="32"/>
        </w:rPr>
        <w:t xml:space="preserve"> 社会保障和就业支出（类）行政事业单位养老支出（款）机关事业单位职业年金缴费支出：指指实施养老保险制度，由单位缴纳的职业年金支出。</w:t>
      </w:r>
    </w:p>
    <w:p>
      <w:pPr>
        <w:spacing w:line="600" w:lineRule="exact"/>
        <w:ind w:firstLine="640" w:firstLineChars="200"/>
        <w:rPr>
          <w:rFonts w:ascii="仿宋" w:hAnsi="仿宋" w:eastAsia="仿宋"/>
          <w:color w:val="000000"/>
          <w:sz w:val="32"/>
          <w:szCs w:val="32"/>
        </w:rPr>
      </w:pPr>
      <w:r>
        <w:rPr>
          <w:rFonts w:hint="eastAsia" w:ascii="仿宋" w:hAnsi="仿宋" w:eastAsia="仿宋"/>
          <w:color w:val="000000"/>
          <w:sz w:val="32"/>
          <w:szCs w:val="32"/>
          <w:lang w:val="en-US" w:eastAsia="zh-CN"/>
        </w:rPr>
        <w:t>12</w:t>
      </w:r>
      <w:r>
        <w:rPr>
          <w:rFonts w:ascii="仿宋" w:hAnsi="仿宋" w:eastAsia="仿宋"/>
          <w:color w:val="000000"/>
          <w:sz w:val="32"/>
          <w:szCs w:val="32"/>
        </w:rPr>
        <w:t>.</w:t>
      </w:r>
      <w:r>
        <w:rPr>
          <w:rFonts w:hint="eastAsia" w:ascii="仿宋" w:hAnsi="仿宋" w:eastAsia="仿宋"/>
          <w:color w:val="000000"/>
          <w:sz w:val="32"/>
          <w:szCs w:val="32"/>
        </w:rPr>
        <w:t xml:space="preserve"> 社会保障和就业支出（类）抚恤（款）死亡抚恤（项）：指单位退休人员的死亡抚恤金。</w:t>
      </w:r>
    </w:p>
    <w:p>
      <w:pPr>
        <w:spacing w:line="600" w:lineRule="exact"/>
        <w:ind w:firstLine="640" w:firstLineChars="200"/>
        <w:rPr>
          <w:rFonts w:ascii="仿宋" w:hAnsi="仿宋" w:eastAsia="仿宋"/>
          <w:color w:val="000000"/>
          <w:sz w:val="32"/>
          <w:szCs w:val="32"/>
        </w:rPr>
      </w:pPr>
      <w:r>
        <w:rPr>
          <w:rFonts w:hint="eastAsia" w:ascii="仿宋" w:hAnsi="仿宋" w:eastAsia="仿宋"/>
          <w:color w:val="000000"/>
          <w:sz w:val="32"/>
          <w:szCs w:val="32"/>
          <w:lang w:val="en-US" w:eastAsia="zh-CN"/>
        </w:rPr>
        <w:t>13</w:t>
      </w:r>
      <w:r>
        <w:rPr>
          <w:rFonts w:ascii="仿宋" w:hAnsi="仿宋" w:eastAsia="仿宋"/>
          <w:color w:val="000000"/>
          <w:sz w:val="32"/>
          <w:szCs w:val="32"/>
        </w:rPr>
        <w:t>.</w:t>
      </w:r>
      <w:r>
        <w:rPr>
          <w:rFonts w:hint="eastAsia" w:ascii="仿宋" w:hAnsi="仿宋" w:eastAsia="仿宋"/>
          <w:color w:val="000000"/>
          <w:sz w:val="32"/>
          <w:szCs w:val="32"/>
        </w:rPr>
        <w:t>社会保障和就业支出（类）其他社会保障和就业支出（款）其他社会保障和就业支出（项）：指单位为在职职工缴纳的工伤保险和失业保险。</w:t>
      </w:r>
    </w:p>
    <w:p>
      <w:pPr>
        <w:spacing w:line="600" w:lineRule="exact"/>
        <w:ind w:firstLine="640" w:firstLineChars="200"/>
        <w:rPr>
          <w:rFonts w:ascii="仿宋" w:hAnsi="仿宋" w:eastAsia="仿宋"/>
          <w:color w:val="000000"/>
          <w:sz w:val="32"/>
          <w:szCs w:val="32"/>
        </w:rPr>
      </w:pPr>
      <w:r>
        <w:rPr>
          <w:rFonts w:hint="eastAsia" w:ascii="仿宋" w:hAnsi="仿宋" w:eastAsia="仿宋"/>
          <w:color w:val="000000"/>
          <w:sz w:val="32"/>
          <w:szCs w:val="32"/>
          <w:lang w:val="en-US" w:eastAsia="zh-CN"/>
        </w:rPr>
        <w:t>14</w:t>
      </w:r>
      <w:r>
        <w:rPr>
          <w:rFonts w:ascii="仿宋" w:hAnsi="仿宋" w:eastAsia="仿宋"/>
          <w:color w:val="000000"/>
          <w:sz w:val="32"/>
          <w:szCs w:val="32"/>
        </w:rPr>
        <w:t>.</w:t>
      </w:r>
      <w:r>
        <w:rPr>
          <w:rFonts w:hint="eastAsia" w:ascii="仿宋" w:hAnsi="仿宋" w:eastAsia="仿宋"/>
          <w:color w:val="000000"/>
          <w:sz w:val="32"/>
          <w:szCs w:val="32"/>
        </w:rPr>
        <w:t>卫生健康支出（类）行政职业单位医疗（款）事业单位医疗（项）：指单位为在职职工缴纳的医疗保险。</w:t>
      </w:r>
    </w:p>
    <w:p>
      <w:pPr>
        <w:spacing w:line="600" w:lineRule="exact"/>
        <w:ind w:firstLine="640" w:firstLineChars="200"/>
        <w:rPr>
          <w:rFonts w:ascii="仿宋" w:hAnsi="仿宋" w:eastAsia="仿宋"/>
          <w:color w:val="000000"/>
          <w:sz w:val="32"/>
          <w:szCs w:val="32"/>
        </w:rPr>
      </w:pPr>
      <w:r>
        <w:rPr>
          <w:rFonts w:hint="eastAsia" w:ascii="仿宋" w:hAnsi="仿宋" w:eastAsia="仿宋"/>
          <w:color w:val="000000"/>
          <w:sz w:val="32"/>
          <w:szCs w:val="32"/>
          <w:lang w:val="en-US" w:eastAsia="zh-CN"/>
        </w:rPr>
        <w:t>15</w:t>
      </w:r>
      <w:r>
        <w:rPr>
          <w:rFonts w:ascii="仿宋" w:hAnsi="仿宋" w:eastAsia="仿宋"/>
          <w:color w:val="000000"/>
          <w:sz w:val="32"/>
          <w:szCs w:val="32"/>
        </w:rPr>
        <w:t>.</w:t>
      </w:r>
      <w:r>
        <w:rPr>
          <w:rFonts w:hint="eastAsia" w:ascii="仿宋" w:hAnsi="仿宋" w:eastAsia="仿宋"/>
          <w:color w:val="000000"/>
          <w:sz w:val="32"/>
          <w:szCs w:val="32"/>
        </w:rPr>
        <w:t>资源勘探工业信息等支出（类）资源勘探开发（款）其他资源勘探支出（项）：指为保障单位正常运转，完成日常工作任务而发生的人员支出和日常公用支出。</w:t>
      </w:r>
    </w:p>
    <w:p>
      <w:pPr>
        <w:spacing w:line="600" w:lineRule="exact"/>
        <w:ind w:firstLine="640" w:firstLineChars="200"/>
        <w:rPr>
          <w:rFonts w:ascii="仿宋" w:hAnsi="仿宋" w:eastAsia="仿宋"/>
          <w:color w:val="000000"/>
          <w:sz w:val="32"/>
          <w:szCs w:val="32"/>
        </w:rPr>
      </w:pPr>
      <w:r>
        <w:rPr>
          <w:rFonts w:hint="eastAsia" w:ascii="仿宋" w:hAnsi="仿宋" w:eastAsia="仿宋"/>
          <w:color w:val="000000"/>
          <w:sz w:val="32"/>
          <w:szCs w:val="32"/>
        </w:rPr>
        <w:t>1</w:t>
      </w:r>
      <w:r>
        <w:rPr>
          <w:rFonts w:hint="eastAsia" w:ascii="仿宋" w:hAnsi="仿宋" w:eastAsia="仿宋"/>
          <w:color w:val="000000"/>
          <w:sz w:val="32"/>
          <w:szCs w:val="32"/>
          <w:lang w:val="en-US" w:eastAsia="zh-CN"/>
        </w:rPr>
        <w:t>6</w:t>
      </w:r>
      <w:r>
        <w:rPr>
          <w:rFonts w:ascii="仿宋" w:hAnsi="仿宋" w:eastAsia="仿宋"/>
          <w:color w:val="000000"/>
          <w:sz w:val="32"/>
          <w:szCs w:val="32"/>
        </w:rPr>
        <w:t>.</w:t>
      </w:r>
      <w:r>
        <w:rPr>
          <w:rFonts w:hint="eastAsia" w:ascii="仿宋" w:hAnsi="仿宋" w:eastAsia="仿宋"/>
          <w:color w:val="000000"/>
          <w:sz w:val="32"/>
          <w:szCs w:val="32"/>
        </w:rPr>
        <w:t>住房保障支出（类）住房改革支出（款）住房公积金（项）：指按照《住房公积金管理条例》的规定，由单位缴存的住房公积金。</w:t>
      </w:r>
    </w:p>
    <w:p>
      <w:pPr>
        <w:spacing w:line="600" w:lineRule="exact"/>
        <w:ind w:firstLine="640" w:firstLineChars="200"/>
        <w:rPr>
          <w:rFonts w:hint="eastAsia" w:ascii="仿宋_GB2312" w:eastAsia="仿宋_GB2312"/>
          <w:sz w:val="32"/>
          <w:szCs w:val="32"/>
        </w:rPr>
      </w:pPr>
      <w:r>
        <w:rPr>
          <w:rFonts w:hint="eastAsia" w:ascii="仿宋" w:hAnsi="仿宋" w:eastAsia="仿宋"/>
          <w:color w:val="000000"/>
          <w:sz w:val="32"/>
          <w:szCs w:val="32"/>
        </w:rPr>
        <w:t>1</w:t>
      </w:r>
      <w:r>
        <w:rPr>
          <w:rFonts w:hint="eastAsia" w:ascii="仿宋" w:hAnsi="仿宋" w:eastAsia="仿宋"/>
          <w:color w:val="000000"/>
          <w:sz w:val="32"/>
          <w:szCs w:val="32"/>
          <w:lang w:val="en-US" w:eastAsia="zh-CN"/>
        </w:rPr>
        <w:t>7</w:t>
      </w:r>
      <w:r>
        <w:rPr>
          <w:rFonts w:ascii="仿宋" w:hAnsi="仿宋" w:eastAsia="仿宋"/>
          <w:color w:val="000000"/>
          <w:sz w:val="32"/>
          <w:szCs w:val="32"/>
        </w:rPr>
        <w:t>.</w:t>
      </w:r>
      <w:r>
        <w:rPr>
          <w:rFonts w:hint="eastAsia" w:ascii="仿宋" w:hAnsi="仿宋" w:eastAsia="仿宋"/>
          <w:color w:val="000000"/>
          <w:sz w:val="32"/>
          <w:szCs w:val="32"/>
        </w:rPr>
        <w:t>住房保障支出（类）住房改革支出（款）购房补贴（项）：指按房改政策规定的标准，向符合条件的职工发放的用于购买住房的补贴。</w:t>
      </w:r>
    </w:p>
    <w:p>
      <w:pPr>
        <w:ind w:firstLine="640" w:firstLineChars="200"/>
        <w:rPr>
          <w:rFonts w:ascii="仿宋_GB2312" w:eastAsia="仿宋_GB2312"/>
          <w:color w:val="000000"/>
          <w:sz w:val="32"/>
          <w:szCs w:val="32"/>
        </w:rPr>
      </w:pPr>
      <w:r>
        <w:rPr>
          <w:rFonts w:hint="eastAsia" w:ascii="仿宋_GB2312" w:eastAsia="仿宋_GB2312"/>
          <w:color w:val="000000"/>
          <w:sz w:val="32"/>
          <w:szCs w:val="32"/>
          <w:lang w:val="en-US" w:eastAsia="zh-CN"/>
        </w:rPr>
        <w:t>18</w:t>
      </w:r>
      <w:r>
        <w:rPr>
          <w:rFonts w:ascii="仿宋_GB2312" w:eastAsia="仿宋_GB2312"/>
          <w:color w:val="000000"/>
          <w:sz w:val="32"/>
          <w:szCs w:val="32"/>
        </w:rPr>
        <w:t>.</w:t>
      </w:r>
      <w:r>
        <w:rPr>
          <w:rFonts w:hint="eastAsia" w:ascii="仿宋_GB2312" w:eastAsia="仿宋_GB2312"/>
          <w:color w:val="000000"/>
          <w:sz w:val="32"/>
          <w:szCs w:val="32"/>
        </w:rPr>
        <w:t>基本支出：指为保障机构正常运转、完成日常工作任务而发生的人员支出和公用支出。</w:t>
      </w:r>
    </w:p>
    <w:p>
      <w:pPr>
        <w:ind w:firstLine="640" w:firstLineChars="200"/>
        <w:rPr>
          <w:rFonts w:ascii="仿宋_GB2312" w:eastAsia="仿宋_GB2312"/>
          <w:color w:val="000000"/>
          <w:sz w:val="32"/>
          <w:szCs w:val="32"/>
        </w:rPr>
      </w:pPr>
      <w:r>
        <w:rPr>
          <w:rFonts w:hint="eastAsia" w:ascii="仿宋_GB2312" w:eastAsia="仿宋_GB2312"/>
          <w:color w:val="000000"/>
          <w:sz w:val="32"/>
          <w:szCs w:val="32"/>
          <w:lang w:val="en-US" w:eastAsia="zh-CN"/>
        </w:rPr>
        <w:t>19</w:t>
      </w:r>
      <w:r>
        <w:rPr>
          <w:rFonts w:ascii="仿宋_GB2312" w:eastAsia="仿宋_GB2312"/>
          <w:color w:val="000000"/>
          <w:sz w:val="32"/>
          <w:szCs w:val="32"/>
        </w:rPr>
        <w:t>.</w:t>
      </w:r>
      <w:r>
        <w:rPr>
          <w:rFonts w:hint="eastAsia" w:ascii="仿宋_GB2312" w:eastAsia="仿宋_GB2312"/>
          <w:color w:val="000000"/>
          <w:sz w:val="32"/>
          <w:szCs w:val="32"/>
        </w:rPr>
        <w:t>项目支出：指在基本支出之外为完成特定行政任务和事业发展目标所发生的支出。</w:t>
      </w:r>
      <w:r>
        <w:rPr>
          <w:rFonts w:ascii="仿宋_GB2312" w:eastAsia="仿宋_GB2312"/>
          <w:color w:val="000000"/>
          <w:sz w:val="32"/>
          <w:szCs w:val="32"/>
        </w:rPr>
        <w:t xml:space="preserve"> </w:t>
      </w:r>
    </w:p>
    <w:p>
      <w:pPr>
        <w:ind w:firstLine="640" w:firstLineChars="200"/>
        <w:rPr>
          <w:rFonts w:ascii="仿宋_GB2312" w:eastAsia="仿宋_GB2312"/>
          <w:color w:val="000000"/>
          <w:sz w:val="32"/>
          <w:szCs w:val="32"/>
        </w:rPr>
      </w:pPr>
      <w:r>
        <w:rPr>
          <w:rFonts w:hint="eastAsia" w:ascii="仿宋_GB2312" w:eastAsia="仿宋_GB2312"/>
          <w:color w:val="000000"/>
          <w:sz w:val="32"/>
          <w:szCs w:val="32"/>
          <w:lang w:val="en-US" w:eastAsia="zh-CN"/>
        </w:rPr>
        <w:t>20</w:t>
      </w:r>
      <w:r>
        <w:rPr>
          <w:rFonts w:ascii="仿宋_GB2312" w:eastAsia="仿宋_GB2312"/>
          <w:color w:val="000000"/>
          <w:sz w:val="32"/>
          <w:szCs w:val="32"/>
        </w:rPr>
        <w:t>.</w:t>
      </w:r>
      <w:r>
        <w:rPr>
          <w:rFonts w:hint="eastAsia" w:ascii="仿宋_GB2312" w:eastAsia="仿宋_GB2312"/>
          <w:color w:val="000000"/>
          <w:sz w:val="32"/>
          <w:szCs w:val="32"/>
        </w:rPr>
        <w:t>经营支出：指事业单位在专业业务活动及其辅助活动之外开展非独立核算经营活动发生的支出。</w:t>
      </w:r>
    </w:p>
    <w:p>
      <w:pPr>
        <w:pStyle w:val="23"/>
        <w:spacing w:line="560" w:lineRule="exact"/>
        <w:ind w:firstLine="640" w:firstLineChars="200"/>
        <w:rPr>
          <w:rFonts w:ascii="仿宋_GB2312" w:eastAsia="仿宋_GB2312"/>
          <w:sz w:val="32"/>
          <w:szCs w:val="32"/>
        </w:rPr>
      </w:pPr>
      <w:r>
        <w:rPr>
          <w:rFonts w:hint="eastAsia" w:ascii="仿宋_GB2312" w:eastAsia="仿宋_GB2312"/>
          <w:sz w:val="32"/>
          <w:szCs w:val="32"/>
          <w:lang w:val="en-US" w:eastAsia="zh-CN"/>
        </w:rPr>
        <w:t>21</w:t>
      </w:r>
      <w:r>
        <w:rPr>
          <w:rFonts w:ascii="仿宋_GB2312" w:eastAsia="仿宋_GB2312"/>
          <w:sz w:val="32"/>
          <w:szCs w:val="32"/>
        </w:rPr>
        <w:t>.</w:t>
      </w:r>
      <w:r>
        <w:rPr>
          <w:rFonts w:hint="eastAsia" w:ascii="仿宋_GB2312" w:eastAsia="仿宋_GB2312"/>
          <w:sz w:val="32"/>
          <w:szCs w:val="32"/>
        </w:rPr>
        <w:t>“三公”经费：指</w:t>
      </w:r>
      <w:r>
        <w:rPr>
          <w:rFonts w:hint="eastAsia" w:ascii="仿宋_GB2312" w:eastAsia="仿宋_GB2312"/>
          <w:sz w:val="32"/>
          <w:szCs w:val="32"/>
          <w:lang w:eastAsia="zh-CN"/>
        </w:rPr>
        <w:t>单位</w:t>
      </w:r>
      <w:r>
        <w:rPr>
          <w:rFonts w:hint="eastAsia" w:ascii="仿宋_GB2312" w:eastAsia="仿宋_GB2312"/>
          <w:sz w:val="32"/>
          <w:szCs w:val="32"/>
        </w:rPr>
        <w:t>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pStyle w:val="23"/>
        <w:spacing w:line="560" w:lineRule="exact"/>
        <w:ind w:firstLine="640" w:firstLineChars="200"/>
        <w:jc w:val="left"/>
        <w:rPr>
          <w:rFonts w:ascii="宋体"/>
          <w:b/>
          <w:color w:val="auto"/>
          <w:sz w:val="44"/>
          <w:szCs w:val="44"/>
          <w:highlight w:val="none"/>
        </w:rPr>
      </w:pPr>
      <w:r>
        <w:rPr>
          <w:rFonts w:hint="eastAsia" w:ascii="仿宋_GB2312" w:eastAsia="仿宋_GB2312"/>
          <w:sz w:val="32"/>
          <w:szCs w:val="32"/>
          <w:lang w:val="en-US" w:eastAsia="zh-CN"/>
        </w:rPr>
        <w:t>22</w:t>
      </w:r>
      <w:r>
        <w:rPr>
          <w:rFonts w:ascii="仿宋_GB2312" w:eastAsia="仿宋_GB2312"/>
          <w:sz w:val="32"/>
          <w:szCs w:val="32"/>
        </w:rPr>
        <w:t>.</w:t>
      </w:r>
      <w:r>
        <w:rPr>
          <w:rFonts w:hint="eastAsia" w:ascii="仿宋_GB2312" w:eastAsia="仿宋_GB2312"/>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bookmarkStart w:id="47" w:name="_Toc15377226"/>
      <w:r>
        <w:rPr>
          <w:rFonts w:ascii="宋体"/>
          <w:b/>
          <w:color w:val="auto"/>
          <w:sz w:val="44"/>
          <w:szCs w:val="44"/>
          <w:highlight w:val="none"/>
        </w:rPr>
        <w:br w:type="page"/>
      </w:r>
      <w:bookmarkStart w:id="48" w:name="_Toc15396614"/>
    </w:p>
    <w:p>
      <w:pPr>
        <w:pStyle w:val="23"/>
        <w:spacing w:line="560" w:lineRule="exact"/>
        <w:ind w:firstLine="3080" w:firstLineChars="700"/>
        <w:jc w:val="left"/>
        <w:rPr>
          <w:rStyle w:val="25"/>
          <w:rFonts w:ascii="黑体" w:hAnsi="黑体" w:eastAsia="黑体"/>
          <w:b w:val="0"/>
          <w:color w:val="auto"/>
          <w:highlight w:val="none"/>
        </w:rPr>
      </w:pPr>
      <w:r>
        <w:rPr>
          <w:rFonts w:hint="eastAsia" w:ascii="黑体" w:hAnsi="黑体" w:eastAsia="黑体"/>
          <w:color w:val="auto"/>
          <w:sz w:val="44"/>
          <w:szCs w:val="44"/>
          <w:highlight w:val="none"/>
        </w:rPr>
        <w:t>第</w:t>
      </w:r>
      <w:r>
        <w:rPr>
          <w:rStyle w:val="25"/>
          <w:rFonts w:hint="eastAsia" w:ascii="黑体" w:hAnsi="黑体" w:eastAsia="黑体"/>
          <w:b w:val="0"/>
          <w:color w:val="auto"/>
          <w:highlight w:val="none"/>
        </w:rPr>
        <w:t>四部分 附件</w:t>
      </w:r>
      <w:bookmarkEnd w:id="48"/>
    </w:p>
    <w:p>
      <w:pPr>
        <w:spacing w:line="600" w:lineRule="exact"/>
        <w:jc w:val="center"/>
        <w:outlineLvl w:val="0"/>
        <w:rPr>
          <w:rFonts w:hint="eastAsia" w:ascii="黑体" w:hAnsi="黑体" w:eastAsia="黑体"/>
          <w:color w:val="auto"/>
          <w:sz w:val="44"/>
          <w:szCs w:val="44"/>
          <w:highlight w:val="none"/>
        </w:rPr>
      </w:pPr>
      <w:bookmarkStart w:id="49" w:name="_Toc15396618"/>
    </w:p>
    <w:p>
      <w:pPr>
        <w:widowControl/>
        <w:adjustRightInd w:val="0"/>
        <w:snapToGrid w:val="0"/>
        <w:spacing w:line="580" w:lineRule="exact"/>
        <w:contextualSpacing/>
        <w:jc w:val="left"/>
        <w:rPr>
          <w:color w:val="FF0000"/>
        </w:rPr>
      </w:pPr>
      <w:r>
        <w:rPr>
          <w:rFonts w:hint="eastAsia" w:ascii="仿宋_GB2312" w:hAnsi="宋体" w:eastAsia="仿宋_GB2312" w:cs="宋体"/>
          <w:color w:val="auto"/>
          <w:kern w:val="0"/>
          <w:sz w:val="32"/>
          <w:szCs w:val="32"/>
          <w:shd w:val="clear" w:color="auto" w:fill="FFFFFF"/>
          <w:lang w:val="en-US" w:eastAsia="zh-CN"/>
        </w:rPr>
        <w:t>本年没有两个及以上100万元以上（含）特定目标类部门预算项目的，无需开展绩效目标自评。</w:t>
      </w:r>
    </w:p>
    <w:p>
      <w:pPr>
        <w:spacing w:line="600" w:lineRule="exact"/>
        <w:jc w:val="center"/>
        <w:outlineLvl w:val="0"/>
        <w:rPr>
          <w:rFonts w:hint="eastAsia" w:ascii="黑体" w:hAnsi="黑体" w:eastAsia="黑体"/>
          <w:color w:val="FF0000"/>
          <w:sz w:val="44"/>
          <w:szCs w:val="44"/>
          <w:highlight w:val="none"/>
        </w:rPr>
      </w:pPr>
    </w:p>
    <w:p>
      <w:pPr>
        <w:pStyle w:val="2"/>
        <w:rPr>
          <w:rFonts w:hint="eastAsia" w:ascii="黑体" w:hAnsi="黑体" w:eastAsia="黑体"/>
          <w:color w:val="FF0000"/>
          <w:sz w:val="44"/>
          <w:szCs w:val="44"/>
          <w:highlight w:val="none"/>
        </w:rPr>
      </w:pPr>
    </w:p>
    <w:p>
      <w:pPr>
        <w:pStyle w:val="2"/>
        <w:rPr>
          <w:rFonts w:hint="eastAsia" w:ascii="黑体" w:hAnsi="黑体" w:eastAsia="黑体"/>
          <w:color w:val="FF0000"/>
          <w:sz w:val="44"/>
          <w:szCs w:val="44"/>
          <w:highlight w:val="none"/>
        </w:rPr>
      </w:pPr>
    </w:p>
    <w:p>
      <w:pPr>
        <w:pStyle w:val="2"/>
        <w:rPr>
          <w:rFonts w:hint="eastAsia" w:ascii="黑体" w:hAnsi="黑体" w:eastAsia="黑体"/>
          <w:color w:val="FF0000"/>
          <w:sz w:val="44"/>
          <w:szCs w:val="44"/>
          <w:highlight w:val="none"/>
        </w:rPr>
      </w:pPr>
    </w:p>
    <w:p>
      <w:pPr>
        <w:pStyle w:val="2"/>
        <w:rPr>
          <w:rFonts w:hint="eastAsia" w:ascii="黑体" w:hAnsi="黑体" w:eastAsia="黑体"/>
          <w:color w:val="FF0000"/>
          <w:sz w:val="44"/>
          <w:szCs w:val="44"/>
          <w:highlight w:val="none"/>
        </w:rPr>
      </w:pPr>
    </w:p>
    <w:p>
      <w:pPr>
        <w:pStyle w:val="2"/>
        <w:rPr>
          <w:rFonts w:hint="eastAsia" w:ascii="黑体" w:hAnsi="黑体" w:eastAsia="黑体"/>
          <w:color w:val="FF0000"/>
          <w:sz w:val="44"/>
          <w:szCs w:val="44"/>
          <w:highlight w:val="none"/>
        </w:rPr>
      </w:pPr>
    </w:p>
    <w:p>
      <w:pPr>
        <w:pStyle w:val="2"/>
        <w:rPr>
          <w:rFonts w:hint="eastAsia" w:ascii="黑体" w:hAnsi="黑体" w:eastAsia="黑体"/>
          <w:color w:val="FF0000"/>
          <w:sz w:val="44"/>
          <w:szCs w:val="44"/>
          <w:highlight w:val="none"/>
        </w:rPr>
      </w:pPr>
    </w:p>
    <w:p>
      <w:pPr>
        <w:pStyle w:val="2"/>
        <w:rPr>
          <w:rFonts w:hint="eastAsia" w:ascii="黑体" w:hAnsi="黑体" w:eastAsia="黑体"/>
          <w:color w:val="FF0000"/>
          <w:sz w:val="44"/>
          <w:szCs w:val="44"/>
          <w:highlight w:val="none"/>
        </w:rPr>
      </w:pPr>
    </w:p>
    <w:p>
      <w:pPr>
        <w:pStyle w:val="2"/>
        <w:rPr>
          <w:rFonts w:hint="eastAsia" w:ascii="黑体" w:hAnsi="黑体" w:eastAsia="黑体"/>
          <w:color w:val="FF0000"/>
          <w:sz w:val="44"/>
          <w:szCs w:val="44"/>
          <w:highlight w:val="none"/>
        </w:rPr>
      </w:pPr>
    </w:p>
    <w:p>
      <w:pPr>
        <w:pStyle w:val="2"/>
        <w:rPr>
          <w:rFonts w:hint="eastAsia" w:ascii="黑体" w:hAnsi="黑体" w:eastAsia="黑体"/>
          <w:color w:val="FF0000"/>
          <w:sz w:val="44"/>
          <w:szCs w:val="44"/>
          <w:highlight w:val="none"/>
        </w:rPr>
      </w:pPr>
    </w:p>
    <w:p>
      <w:pPr>
        <w:pStyle w:val="2"/>
        <w:rPr>
          <w:rFonts w:hint="eastAsia" w:ascii="黑体" w:hAnsi="黑体" w:eastAsia="黑体"/>
          <w:color w:val="FF0000"/>
          <w:sz w:val="44"/>
          <w:szCs w:val="44"/>
          <w:highlight w:val="none"/>
        </w:rPr>
      </w:pPr>
    </w:p>
    <w:p>
      <w:pPr>
        <w:pStyle w:val="2"/>
        <w:rPr>
          <w:rFonts w:hint="eastAsia" w:ascii="黑体" w:hAnsi="黑体" w:eastAsia="黑体"/>
          <w:color w:val="FF0000"/>
          <w:sz w:val="44"/>
          <w:szCs w:val="44"/>
          <w:highlight w:val="none"/>
        </w:rPr>
      </w:pPr>
    </w:p>
    <w:p>
      <w:pPr>
        <w:pStyle w:val="2"/>
        <w:rPr>
          <w:rFonts w:hint="eastAsia" w:ascii="黑体" w:hAnsi="黑体" w:eastAsia="黑体"/>
          <w:color w:val="FF0000"/>
          <w:sz w:val="44"/>
          <w:szCs w:val="44"/>
          <w:highlight w:val="none"/>
        </w:rPr>
      </w:pPr>
    </w:p>
    <w:p>
      <w:pPr>
        <w:pStyle w:val="2"/>
        <w:rPr>
          <w:rFonts w:hint="eastAsia" w:ascii="黑体" w:hAnsi="黑体" w:eastAsia="黑体"/>
          <w:color w:val="FF0000"/>
          <w:sz w:val="44"/>
          <w:szCs w:val="44"/>
          <w:highlight w:val="none"/>
        </w:rPr>
      </w:pPr>
    </w:p>
    <w:p>
      <w:pPr>
        <w:pStyle w:val="2"/>
        <w:rPr>
          <w:rFonts w:hint="eastAsia" w:ascii="黑体" w:hAnsi="黑体" w:eastAsia="黑体"/>
          <w:color w:val="FF0000"/>
          <w:sz w:val="44"/>
          <w:szCs w:val="44"/>
          <w:highlight w:val="none"/>
        </w:rPr>
      </w:pPr>
    </w:p>
    <w:p>
      <w:pPr>
        <w:pStyle w:val="2"/>
        <w:rPr>
          <w:rFonts w:hint="eastAsia" w:ascii="黑体" w:hAnsi="黑体" w:eastAsia="黑体"/>
          <w:color w:val="FF0000"/>
          <w:sz w:val="44"/>
          <w:szCs w:val="44"/>
          <w:highlight w:val="none"/>
        </w:rPr>
      </w:pPr>
    </w:p>
    <w:p>
      <w:pPr>
        <w:pStyle w:val="2"/>
        <w:rPr>
          <w:rFonts w:hint="eastAsia" w:ascii="黑体" w:hAnsi="黑体" w:eastAsia="黑体"/>
          <w:color w:val="FF0000"/>
          <w:sz w:val="44"/>
          <w:szCs w:val="44"/>
          <w:highlight w:val="none"/>
        </w:rPr>
      </w:pPr>
    </w:p>
    <w:p>
      <w:pPr>
        <w:pStyle w:val="2"/>
        <w:rPr>
          <w:rFonts w:hint="eastAsia" w:ascii="黑体" w:hAnsi="黑体" w:eastAsia="黑体"/>
          <w:color w:val="FF0000"/>
          <w:sz w:val="44"/>
          <w:szCs w:val="44"/>
          <w:highlight w:val="none"/>
        </w:rPr>
      </w:pPr>
    </w:p>
    <w:p>
      <w:pPr>
        <w:pStyle w:val="2"/>
        <w:rPr>
          <w:rFonts w:hint="eastAsia" w:ascii="黑体" w:hAnsi="黑体" w:eastAsia="黑体"/>
          <w:color w:val="FF0000"/>
          <w:sz w:val="44"/>
          <w:szCs w:val="44"/>
          <w:highlight w:val="none"/>
        </w:rPr>
      </w:pPr>
    </w:p>
    <w:p>
      <w:pPr>
        <w:pStyle w:val="2"/>
        <w:rPr>
          <w:rFonts w:hint="eastAsia" w:ascii="黑体" w:hAnsi="黑体" w:eastAsia="黑体"/>
          <w:color w:val="FF0000"/>
          <w:sz w:val="44"/>
          <w:szCs w:val="44"/>
          <w:highlight w:val="none"/>
        </w:rPr>
      </w:pPr>
    </w:p>
    <w:p>
      <w:pPr>
        <w:spacing w:line="600" w:lineRule="exact"/>
        <w:jc w:val="center"/>
        <w:outlineLvl w:val="0"/>
        <w:rPr>
          <w:rFonts w:hint="eastAsia" w:ascii="黑体" w:hAnsi="黑体" w:eastAsia="黑体"/>
          <w:color w:val="auto"/>
          <w:sz w:val="44"/>
          <w:szCs w:val="44"/>
          <w:highlight w:val="none"/>
        </w:rPr>
      </w:pPr>
    </w:p>
    <w:p>
      <w:pPr>
        <w:spacing w:line="600" w:lineRule="exact"/>
        <w:jc w:val="center"/>
        <w:outlineLvl w:val="0"/>
        <w:rPr>
          <w:rFonts w:hint="eastAsia" w:ascii="仿宋" w:hAnsi="仿宋" w:eastAsia="仿宋"/>
          <w:b w:val="0"/>
          <w:color w:val="auto"/>
          <w:highlight w:val="none"/>
        </w:rPr>
      </w:pPr>
      <w:r>
        <w:rPr>
          <w:rFonts w:hint="eastAsia" w:ascii="黑体" w:hAnsi="黑体" w:eastAsia="黑体"/>
          <w:color w:val="auto"/>
          <w:sz w:val="44"/>
          <w:szCs w:val="44"/>
          <w:highlight w:val="none"/>
        </w:rPr>
        <w:t>第</w:t>
      </w:r>
      <w:r>
        <w:rPr>
          <w:rStyle w:val="25"/>
          <w:rFonts w:hint="eastAsia" w:ascii="黑体" w:hAnsi="黑体" w:eastAsia="黑体"/>
          <w:b w:val="0"/>
          <w:color w:val="auto"/>
          <w:highlight w:val="none"/>
        </w:rPr>
        <w:t>五部分 附表</w:t>
      </w:r>
      <w:bookmarkEnd w:id="47"/>
      <w:bookmarkEnd w:id="49"/>
      <w:bookmarkStart w:id="50" w:name="_Toc15396619"/>
    </w:p>
    <w:p>
      <w:pPr>
        <w:pStyle w:val="4"/>
        <w:rPr>
          <w:rFonts w:ascii="仿宋" w:hAnsi="仿宋" w:eastAsia="仿宋"/>
          <w:color w:val="auto"/>
          <w:highlight w:val="none"/>
        </w:rPr>
      </w:pPr>
      <w:r>
        <w:rPr>
          <w:rFonts w:hint="eastAsia" w:ascii="仿宋" w:hAnsi="仿宋" w:eastAsia="仿宋"/>
          <w:b w:val="0"/>
          <w:color w:val="auto"/>
          <w:highlight w:val="none"/>
        </w:rPr>
        <w:t>一、收</w:t>
      </w:r>
      <w:r>
        <w:rPr>
          <w:rStyle w:val="26"/>
          <w:rFonts w:hint="eastAsia" w:ascii="仿宋" w:hAnsi="仿宋" w:eastAsia="仿宋"/>
          <w:b w:val="0"/>
          <w:bCs w:val="0"/>
          <w:color w:val="auto"/>
          <w:highlight w:val="none"/>
        </w:rPr>
        <w:t>入支出决算总表</w:t>
      </w:r>
      <w:bookmarkEnd w:id="50"/>
    </w:p>
    <w:p>
      <w:pPr>
        <w:pStyle w:val="4"/>
        <w:rPr>
          <w:rFonts w:ascii="仿宋" w:hAnsi="仿宋" w:eastAsia="仿宋"/>
          <w:color w:val="auto"/>
          <w:highlight w:val="none"/>
        </w:rPr>
      </w:pPr>
      <w:bookmarkStart w:id="51" w:name="_Toc15396620"/>
      <w:r>
        <w:rPr>
          <w:rFonts w:hint="eastAsia" w:ascii="仿宋" w:hAnsi="仿宋" w:eastAsia="仿宋"/>
          <w:b w:val="0"/>
          <w:color w:val="auto"/>
          <w:highlight w:val="none"/>
        </w:rPr>
        <w:t>二、收</w:t>
      </w:r>
      <w:r>
        <w:rPr>
          <w:rStyle w:val="26"/>
          <w:rFonts w:hint="eastAsia" w:ascii="仿宋" w:hAnsi="仿宋" w:eastAsia="仿宋"/>
          <w:b w:val="0"/>
          <w:bCs w:val="0"/>
          <w:color w:val="auto"/>
          <w:highlight w:val="none"/>
        </w:rPr>
        <w:t>入决算表</w:t>
      </w:r>
      <w:bookmarkEnd w:id="51"/>
    </w:p>
    <w:p>
      <w:pPr>
        <w:pStyle w:val="4"/>
        <w:rPr>
          <w:rFonts w:ascii="仿宋" w:hAnsi="仿宋" w:eastAsia="仿宋"/>
          <w:color w:val="auto"/>
          <w:highlight w:val="none"/>
        </w:rPr>
      </w:pPr>
      <w:bookmarkStart w:id="52" w:name="_Toc15396621"/>
      <w:r>
        <w:rPr>
          <w:rStyle w:val="26"/>
          <w:rFonts w:hint="eastAsia" w:ascii="仿宋" w:hAnsi="仿宋" w:eastAsia="仿宋"/>
          <w:b w:val="0"/>
          <w:bCs w:val="0"/>
          <w:color w:val="auto"/>
          <w:highlight w:val="none"/>
        </w:rPr>
        <w:t>三、</w:t>
      </w:r>
      <w:r>
        <w:rPr>
          <w:rFonts w:hint="eastAsia" w:ascii="仿宋" w:hAnsi="仿宋" w:eastAsia="仿宋"/>
          <w:b w:val="0"/>
          <w:color w:val="auto"/>
          <w:highlight w:val="none"/>
        </w:rPr>
        <w:t>支</w:t>
      </w:r>
      <w:r>
        <w:rPr>
          <w:rStyle w:val="26"/>
          <w:rFonts w:hint="eastAsia" w:ascii="仿宋" w:hAnsi="仿宋" w:eastAsia="仿宋"/>
          <w:b w:val="0"/>
          <w:bCs w:val="0"/>
          <w:color w:val="auto"/>
          <w:highlight w:val="none"/>
        </w:rPr>
        <w:t>出决算表</w:t>
      </w:r>
      <w:bookmarkEnd w:id="52"/>
    </w:p>
    <w:p>
      <w:pPr>
        <w:pStyle w:val="4"/>
        <w:rPr>
          <w:rFonts w:ascii="仿宋" w:hAnsi="仿宋" w:eastAsia="仿宋"/>
          <w:b w:val="0"/>
          <w:color w:val="auto"/>
          <w:highlight w:val="none"/>
        </w:rPr>
      </w:pPr>
      <w:bookmarkStart w:id="53" w:name="_Toc15396622"/>
      <w:r>
        <w:rPr>
          <w:rStyle w:val="26"/>
          <w:rFonts w:hint="eastAsia" w:ascii="仿宋" w:hAnsi="仿宋" w:eastAsia="仿宋"/>
          <w:b w:val="0"/>
          <w:bCs w:val="0"/>
          <w:color w:val="auto"/>
          <w:highlight w:val="none"/>
        </w:rPr>
        <w:t>四、</w:t>
      </w:r>
      <w:r>
        <w:rPr>
          <w:rFonts w:hint="eastAsia" w:ascii="仿宋" w:hAnsi="仿宋" w:eastAsia="仿宋"/>
          <w:b w:val="0"/>
          <w:color w:val="auto"/>
          <w:highlight w:val="none"/>
        </w:rPr>
        <w:t>财</w:t>
      </w:r>
      <w:r>
        <w:rPr>
          <w:rStyle w:val="26"/>
          <w:rFonts w:hint="eastAsia" w:ascii="仿宋" w:hAnsi="仿宋" w:eastAsia="仿宋"/>
          <w:b w:val="0"/>
          <w:bCs w:val="0"/>
          <w:color w:val="auto"/>
          <w:highlight w:val="none"/>
        </w:rPr>
        <w:t>政拨款收入支出决算总表</w:t>
      </w:r>
      <w:bookmarkEnd w:id="53"/>
    </w:p>
    <w:p>
      <w:pPr>
        <w:pStyle w:val="4"/>
        <w:rPr>
          <w:rStyle w:val="26"/>
          <w:rFonts w:ascii="仿宋" w:hAnsi="仿宋" w:eastAsia="仿宋"/>
          <w:b w:val="0"/>
          <w:bCs w:val="0"/>
          <w:color w:val="auto"/>
          <w:highlight w:val="none"/>
        </w:rPr>
      </w:pPr>
      <w:bookmarkStart w:id="54" w:name="_Toc15396623"/>
      <w:r>
        <w:rPr>
          <w:rStyle w:val="26"/>
          <w:rFonts w:hint="eastAsia" w:ascii="仿宋" w:hAnsi="仿宋" w:eastAsia="仿宋"/>
          <w:b w:val="0"/>
          <w:bCs w:val="0"/>
          <w:color w:val="auto"/>
          <w:highlight w:val="none"/>
        </w:rPr>
        <w:t>五、</w:t>
      </w:r>
      <w:r>
        <w:rPr>
          <w:rFonts w:hint="eastAsia" w:ascii="仿宋" w:hAnsi="仿宋" w:eastAsia="仿宋"/>
          <w:b w:val="0"/>
          <w:color w:val="auto"/>
          <w:highlight w:val="none"/>
        </w:rPr>
        <w:t>财</w:t>
      </w:r>
      <w:r>
        <w:rPr>
          <w:rStyle w:val="26"/>
          <w:rFonts w:hint="eastAsia" w:ascii="仿宋" w:hAnsi="仿宋" w:eastAsia="仿宋"/>
          <w:b w:val="0"/>
          <w:bCs w:val="0"/>
          <w:color w:val="auto"/>
          <w:highlight w:val="none"/>
        </w:rPr>
        <w:t>政拨款支出决算明细表</w:t>
      </w:r>
      <w:bookmarkEnd w:id="54"/>
      <w:bookmarkStart w:id="55" w:name="_Toc15396624"/>
    </w:p>
    <w:p>
      <w:pPr>
        <w:pStyle w:val="4"/>
        <w:rPr>
          <w:rFonts w:ascii="仿宋" w:hAnsi="仿宋" w:eastAsia="仿宋"/>
          <w:color w:val="auto"/>
          <w:highlight w:val="none"/>
        </w:rPr>
      </w:pPr>
      <w:r>
        <w:rPr>
          <w:rStyle w:val="26"/>
          <w:rFonts w:hint="eastAsia" w:ascii="仿宋" w:hAnsi="仿宋" w:eastAsia="仿宋"/>
          <w:b w:val="0"/>
          <w:bCs w:val="0"/>
          <w:color w:val="auto"/>
          <w:highlight w:val="none"/>
        </w:rPr>
        <w:t>六、</w:t>
      </w:r>
      <w:r>
        <w:rPr>
          <w:rFonts w:hint="eastAsia" w:ascii="仿宋" w:hAnsi="仿宋" w:eastAsia="仿宋"/>
          <w:b w:val="0"/>
          <w:color w:val="auto"/>
          <w:highlight w:val="none"/>
        </w:rPr>
        <w:t>一</w:t>
      </w:r>
      <w:r>
        <w:rPr>
          <w:rStyle w:val="26"/>
          <w:rFonts w:hint="eastAsia" w:ascii="仿宋" w:hAnsi="仿宋" w:eastAsia="仿宋"/>
          <w:b w:val="0"/>
          <w:bCs w:val="0"/>
          <w:color w:val="auto"/>
          <w:highlight w:val="none"/>
        </w:rPr>
        <w:t>般公共预算财政拨款支出决算表</w:t>
      </w:r>
      <w:bookmarkEnd w:id="55"/>
    </w:p>
    <w:p>
      <w:pPr>
        <w:pStyle w:val="4"/>
        <w:rPr>
          <w:rFonts w:ascii="仿宋" w:hAnsi="仿宋" w:eastAsia="仿宋"/>
          <w:color w:val="auto"/>
          <w:highlight w:val="none"/>
        </w:rPr>
      </w:pPr>
      <w:bookmarkStart w:id="56" w:name="_Toc15396625"/>
      <w:r>
        <w:rPr>
          <w:rStyle w:val="26"/>
          <w:rFonts w:hint="eastAsia" w:ascii="仿宋" w:hAnsi="仿宋" w:eastAsia="仿宋"/>
          <w:b w:val="0"/>
          <w:bCs w:val="0"/>
          <w:color w:val="auto"/>
          <w:highlight w:val="none"/>
        </w:rPr>
        <w:t>七、</w:t>
      </w:r>
      <w:r>
        <w:rPr>
          <w:rFonts w:hint="eastAsia" w:ascii="仿宋" w:hAnsi="仿宋" w:eastAsia="仿宋"/>
          <w:b w:val="0"/>
          <w:color w:val="auto"/>
          <w:highlight w:val="none"/>
        </w:rPr>
        <w:t>一</w:t>
      </w:r>
      <w:r>
        <w:rPr>
          <w:rStyle w:val="26"/>
          <w:rFonts w:hint="eastAsia" w:ascii="仿宋" w:hAnsi="仿宋" w:eastAsia="仿宋"/>
          <w:b w:val="0"/>
          <w:bCs w:val="0"/>
          <w:color w:val="auto"/>
          <w:highlight w:val="none"/>
        </w:rPr>
        <w:t>般公共预算财政拨款支出决算明细表</w:t>
      </w:r>
      <w:bookmarkEnd w:id="56"/>
    </w:p>
    <w:p>
      <w:pPr>
        <w:pStyle w:val="4"/>
        <w:rPr>
          <w:rFonts w:ascii="仿宋" w:hAnsi="仿宋" w:eastAsia="仿宋"/>
          <w:color w:val="auto"/>
          <w:highlight w:val="none"/>
        </w:rPr>
      </w:pPr>
      <w:bookmarkStart w:id="57" w:name="_Toc15396626"/>
      <w:r>
        <w:rPr>
          <w:rStyle w:val="26"/>
          <w:rFonts w:hint="eastAsia" w:ascii="仿宋" w:hAnsi="仿宋" w:eastAsia="仿宋"/>
          <w:b w:val="0"/>
          <w:bCs w:val="0"/>
          <w:color w:val="auto"/>
          <w:highlight w:val="none"/>
        </w:rPr>
        <w:t>八、</w:t>
      </w:r>
      <w:r>
        <w:rPr>
          <w:rFonts w:hint="eastAsia" w:ascii="仿宋" w:hAnsi="仿宋" w:eastAsia="仿宋"/>
          <w:b w:val="0"/>
          <w:color w:val="auto"/>
          <w:highlight w:val="none"/>
        </w:rPr>
        <w:t>一</w:t>
      </w:r>
      <w:r>
        <w:rPr>
          <w:rStyle w:val="26"/>
          <w:rFonts w:hint="eastAsia" w:ascii="仿宋" w:hAnsi="仿宋" w:eastAsia="仿宋"/>
          <w:b w:val="0"/>
          <w:bCs w:val="0"/>
          <w:color w:val="auto"/>
          <w:highlight w:val="none"/>
        </w:rPr>
        <w:t>般公共预算财政拨款基本支出决算表</w:t>
      </w:r>
      <w:bookmarkEnd w:id="57"/>
    </w:p>
    <w:p>
      <w:pPr>
        <w:pStyle w:val="4"/>
        <w:rPr>
          <w:rFonts w:ascii="仿宋" w:hAnsi="仿宋" w:eastAsia="仿宋"/>
          <w:color w:val="auto"/>
          <w:highlight w:val="none"/>
        </w:rPr>
      </w:pPr>
      <w:bookmarkStart w:id="58" w:name="_Toc15396627"/>
      <w:r>
        <w:rPr>
          <w:rStyle w:val="26"/>
          <w:rFonts w:hint="eastAsia" w:ascii="仿宋" w:hAnsi="仿宋" w:eastAsia="仿宋"/>
          <w:b w:val="0"/>
          <w:bCs w:val="0"/>
          <w:color w:val="auto"/>
          <w:highlight w:val="none"/>
        </w:rPr>
        <w:t>九、</w:t>
      </w:r>
      <w:r>
        <w:rPr>
          <w:rFonts w:hint="eastAsia" w:ascii="仿宋" w:hAnsi="仿宋" w:eastAsia="仿宋"/>
          <w:b w:val="0"/>
          <w:color w:val="auto"/>
          <w:highlight w:val="none"/>
        </w:rPr>
        <w:t>一</w:t>
      </w:r>
      <w:r>
        <w:rPr>
          <w:rStyle w:val="26"/>
          <w:rFonts w:hint="eastAsia" w:ascii="仿宋" w:hAnsi="仿宋" w:eastAsia="仿宋"/>
          <w:b w:val="0"/>
          <w:bCs w:val="0"/>
          <w:color w:val="auto"/>
          <w:highlight w:val="none"/>
        </w:rPr>
        <w:t>般公共预算财政拨款项目支出决算表</w:t>
      </w:r>
      <w:bookmarkEnd w:id="58"/>
    </w:p>
    <w:p>
      <w:pPr>
        <w:pStyle w:val="4"/>
        <w:rPr>
          <w:rFonts w:ascii="仿宋" w:hAnsi="仿宋" w:eastAsia="仿宋"/>
          <w:color w:val="auto"/>
          <w:highlight w:val="none"/>
        </w:rPr>
      </w:pPr>
      <w:bookmarkStart w:id="59" w:name="_Toc15396628"/>
      <w:r>
        <w:rPr>
          <w:rStyle w:val="26"/>
          <w:rFonts w:hint="eastAsia" w:ascii="仿宋" w:hAnsi="仿宋" w:eastAsia="仿宋"/>
          <w:b w:val="0"/>
          <w:bCs w:val="0"/>
          <w:color w:val="auto"/>
          <w:highlight w:val="none"/>
        </w:rPr>
        <w:t>十、</w:t>
      </w:r>
      <w:r>
        <w:rPr>
          <w:rFonts w:hint="eastAsia" w:ascii="仿宋" w:hAnsi="仿宋" w:eastAsia="仿宋"/>
          <w:b w:val="0"/>
          <w:color w:val="auto"/>
          <w:highlight w:val="none"/>
        </w:rPr>
        <w:t>一</w:t>
      </w:r>
      <w:r>
        <w:rPr>
          <w:rStyle w:val="26"/>
          <w:rFonts w:hint="eastAsia" w:ascii="仿宋" w:hAnsi="仿宋" w:eastAsia="仿宋"/>
          <w:b w:val="0"/>
          <w:bCs w:val="0"/>
          <w:color w:val="auto"/>
          <w:highlight w:val="none"/>
        </w:rPr>
        <w:t>般公共预算财政拨款“三公”经费支出决算表</w:t>
      </w:r>
      <w:bookmarkEnd w:id="59"/>
    </w:p>
    <w:p>
      <w:pPr>
        <w:pStyle w:val="4"/>
        <w:rPr>
          <w:rFonts w:ascii="仿宋" w:hAnsi="仿宋" w:eastAsia="仿宋"/>
          <w:color w:val="auto"/>
          <w:highlight w:val="none"/>
        </w:rPr>
      </w:pPr>
      <w:bookmarkStart w:id="60" w:name="_Toc15396629"/>
      <w:r>
        <w:rPr>
          <w:rStyle w:val="26"/>
          <w:rFonts w:hint="eastAsia" w:ascii="仿宋" w:hAnsi="仿宋" w:eastAsia="仿宋"/>
          <w:b w:val="0"/>
          <w:bCs w:val="0"/>
          <w:color w:val="auto"/>
          <w:highlight w:val="none"/>
        </w:rPr>
        <w:t>十一、</w:t>
      </w:r>
      <w:r>
        <w:rPr>
          <w:rFonts w:hint="eastAsia" w:ascii="仿宋" w:hAnsi="仿宋" w:eastAsia="仿宋"/>
          <w:b w:val="0"/>
          <w:color w:val="auto"/>
          <w:highlight w:val="none"/>
        </w:rPr>
        <w:t>政</w:t>
      </w:r>
      <w:r>
        <w:rPr>
          <w:rStyle w:val="26"/>
          <w:rFonts w:hint="eastAsia" w:ascii="仿宋" w:hAnsi="仿宋" w:eastAsia="仿宋"/>
          <w:b w:val="0"/>
          <w:bCs w:val="0"/>
          <w:color w:val="auto"/>
          <w:highlight w:val="none"/>
        </w:rPr>
        <w:t>府性基金预算财政拨款收入支出决算表</w:t>
      </w:r>
      <w:bookmarkEnd w:id="60"/>
    </w:p>
    <w:p>
      <w:pPr>
        <w:pStyle w:val="4"/>
        <w:rPr>
          <w:rFonts w:ascii="仿宋" w:hAnsi="仿宋" w:eastAsia="仿宋"/>
          <w:color w:val="auto"/>
          <w:highlight w:val="none"/>
        </w:rPr>
      </w:pPr>
      <w:bookmarkStart w:id="61" w:name="_Toc15396630"/>
      <w:r>
        <w:rPr>
          <w:rStyle w:val="26"/>
          <w:rFonts w:hint="eastAsia" w:ascii="仿宋" w:hAnsi="仿宋" w:eastAsia="仿宋"/>
          <w:b w:val="0"/>
          <w:bCs w:val="0"/>
          <w:color w:val="auto"/>
          <w:highlight w:val="none"/>
        </w:rPr>
        <w:t>十二、</w:t>
      </w:r>
      <w:r>
        <w:rPr>
          <w:rFonts w:hint="eastAsia" w:ascii="仿宋" w:hAnsi="仿宋" w:eastAsia="仿宋"/>
          <w:b w:val="0"/>
          <w:color w:val="auto"/>
          <w:highlight w:val="none"/>
        </w:rPr>
        <w:t>政</w:t>
      </w:r>
      <w:r>
        <w:rPr>
          <w:rStyle w:val="26"/>
          <w:rFonts w:hint="eastAsia" w:ascii="仿宋" w:hAnsi="仿宋" w:eastAsia="仿宋"/>
          <w:b w:val="0"/>
          <w:bCs w:val="0"/>
          <w:color w:val="auto"/>
          <w:highlight w:val="none"/>
        </w:rPr>
        <w:t>府性基金预算财政拨款“三公”经费支出决算表</w:t>
      </w:r>
      <w:bookmarkEnd w:id="61"/>
    </w:p>
    <w:p>
      <w:pPr>
        <w:pStyle w:val="4"/>
        <w:rPr>
          <w:rStyle w:val="26"/>
          <w:rFonts w:hint="eastAsia" w:ascii="仿宋" w:hAnsi="仿宋" w:eastAsia="仿宋"/>
          <w:b w:val="0"/>
          <w:bCs w:val="0"/>
          <w:color w:val="auto"/>
          <w:highlight w:val="none"/>
        </w:rPr>
      </w:pPr>
      <w:bookmarkStart w:id="62" w:name="_Toc15396631"/>
      <w:r>
        <w:rPr>
          <w:rStyle w:val="26"/>
          <w:rFonts w:hint="eastAsia" w:ascii="仿宋" w:hAnsi="仿宋" w:eastAsia="仿宋"/>
          <w:b w:val="0"/>
          <w:bCs w:val="0"/>
          <w:color w:val="auto"/>
          <w:highlight w:val="none"/>
        </w:rPr>
        <w:t>十三、</w:t>
      </w:r>
      <w:r>
        <w:rPr>
          <w:rFonts w:hint="eastAsia" w:ascii="仿宋" w:hAnsi="仿宋" w:eastAsia="仿宋"/>
          <w:b w:val="0"/>
          <w:color w:val="auto"/>
          <w:highlight w:val="none"/>
        </w:rPr>
        <w:t>国</w:t>
      </w:r>
      <w:r>
        <w:rPr>
          <w:rStyle w:val="26"/>
          <w:rFonts w:hint="eastAsia" w:ascii="仿宋" w:hAnsi="仿宋" w:eastAsia="仿宋"/>
          <w:b w:val="0"/>
          <w:bCs w:val="0"/>
          <w:color w:val="auto"/>
          <w:highlight w:val="none"/>
        </w:rPr>
        <w:t>有资本经营预算</w:t>
      </w:r>
      <w:r>
        <w:rPr>
          <w:rStyle w:val="26"/>
          <w:rFonts w:hint="eastAsia" w:ascii="仿宋" w:hAnsi="仿宋" w:eastAsia="仿宋"/>
          <w:b w:val="0"/>
          <w:bCs w:val="0"/>
          <w:color w:val="auto"/>
          <w:highlight w:val="none"/>
          <w:lang w:eastAsia="zh-CN"/>
        </w:rPr>
        <w:t>财政拨款收入</w:t>
      </w:r>
      <w:r>
        <w:rPr>
          <w:rStyle w:val="26"/>
          <w:rFonts w:hint="eastAsia" w:ascii="仿宋" w:hAnsi="仿宋" w:eastAsia="仿宋"/>
          <w:b w:val="0"/>
          <w:bCs w:val="0"/>
          <w:color w:val="auto"/>
          <w:highlight w:val="none"/>
        </w:rPr>
        <w:t>支出决算表</w:t>
      </w:r>
      <w:bookmarkEnd w:id="62"/>
    </w:p>
    <w:p>
      <w:pPr>
        <w:rPr>
          <w:rFonts w:hint="eastAsia" w:eastAsia="仿宋"/>
          <w:color w:val="auto"/>
          <w:highlight w:val="none"/>
          <w:lang w:eastAsia="zh-CN"/>
        </w:rPr>
      </w:pPr>
      <w:r>
        <w:rPr>
          <w:rStyle w:val="26"/>
          <w:rFonts w:hint="eastAsia" w:ascii="仿宋" w:hAnsi="仿宋" w:eastAsia="仿宋"/>
          <w:b w:val="0"/>
          <w:bCs w:val="0"/>
          <w:color w:val="auto"/>
          <w:highlight w:val="none"/>
          <w:lang w:eastAsia="zh-CN"/>
        </w:rPr>
        <w:t>十四、国有资本经营预算财政拨款支出决算表</w:t>
      </w:r>
    </w:p>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黑体"/>
    <w:panose1 w:val="02010601030101010101"/>
    <w:charset w:val="86"/>
    <w:family w:val="script"/>
    <w:pitch w:val="default"/>
    <w:sig w:usb0="00000000" w:usb1="00000000" w:usb2="00000000" w:usb3="00000000" w:csb0="00040000"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94781956"/>
    </w:sdtPr>
    <w:sdtContent>
      <w:p>
        <w:pPr>
          <w:pStyle w:val="9"/>
          <w:jc w:val="center"/>
        </w:pPr>
        <w:r>
          <w:fldChar w:fldCharType="begin"/>
        </w:r>
        <w:r>
          <w:instrText xml:space="preserve">PAGE   \* MERGEFORMAT</w:instrText>
        </w:r>
        <w:r>
          <w:fldChar w:fldCharType="separate"/>
        </w:r>
        <w:r>
          <w:rPr>
            <w:lang w:val="zh-CN"/>
          </w:rPr>
          <w:t>8</w:t>
        </w:r>
        <w:r>
          <w:fldChar w:fldCharType="end"/>
        </w:r>
      </w:p>
    </w:sdtContent>
  </w:sdt>
  <w:p>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2FA047D"/>
    <w:multiLevelType w:val="singleLevel"/>
    <w:tmpl w:val="E2FA047D"/>
    <w:lvl w:ilvl="0" w:tentative="0">
      <w:start w:val="3"/>
      <w:numFmt w:val="chineseCounting"/>
      <w:suff w:val="space"/>
      <w:lvlText w:val="第%1部分"/>
      <w:lvlJc w:val="left"/>
      <w:rPr>
        <w:rFonts w:hint="eastAsia" w:ascii="黑体" w:hAnsi="黑体" w:eastAsia="黑体" w:cs="黑体"/>
        <w:sz w:val="44"/>
        <w:szCs w:val="44"/>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E1ZmY2MDRlMDlhYzBjYmU5Yjg5YTMyMGNlMzZlZDM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DA1828"/>
    <w:rsid w:val="0A2032A3"/>
    <w:rsid w:val="0A556ABE"/>
    <w:rsid w:val="0B8029B5"/>
    <w:rsid w:val="0B8A37D8"/>
    <w:rsid w:val="0BA03950"/>
    <w:rsid w:val="0BBF0B33"/>
    <w:rsid w:val="0E2E0176"/>
    <w:rsid w:val="0E2F18F2"/>
    <w:rsid w:val="0E9D47A2"/>
    <w:rsid w:val="105D373D"/>
    <w:rsid w:val="10A11A07"/>
    <w:rsid w:val="10C055FF"/>
    <w:rsid w:val="118107EC"/>
    <w:rsid w:val="11DD6519"/>
    <w:rsid w:val="146120BA"/>
    <w:rsid w:val="15F431D9"/>
    <w:rsid w:val="16BB723D"/>
    <w:rsid w:val="17BF739D"/>
    <w:rsid w:val="18015F3F"/>
    <w:rsid w:val="1BE8440E"/>
    <w:rsid w:val="1CC8782D"/>
    <w:rsid w:val="1D155CEE"/>
    <w:rsid w:val="1DDF37CB"/>
    <w:rsid w:val="1EA71ABD"/>
    <w:rsid w:val="1F300115"/>
    <w:rsid w:val="20F57F95"/>
    <w:rsid w:val="22445871"/>
    <w:rsid w:val="240371BF"/>
    <w:rsid w:val="25C741E6"/>
    <w:rsid w:val="264956AD"/>
    <w:rsid w:val="27757CB8"/>
    <w:rsid w:val="27842671"/>
    <w:rsid w:val="28EC2278"/>
    <w:rsid w:val="29CC46A2"/>
    <w:rsid w:val="29FD04D3"/>
    <w:rsid w:val="2A385C74"/>
    <w:rsid w:val="2ABE7A3E"/>
    <w:rsid w:val="2C797D27"/>
    <w:rsid w:val="2C91156B"/>
    <w:rsid w:val="2EFA178C"/>
    <w:rsid w:val="2F321D0B"/>
    <w:rsid w:val="304A03AA"/>
    <w:rsid w:val="30B46D73"/>
    <w:rsid w:val="319F7F4E"/>
    <w:rsid w:val="32A36B0A"/>
    <w:rsid w:val="33A0247C"/>
    <w:rsid w:val="33A35BD5"/>
    <w:rsid w:val="364B170F"/>
    <w:rsid w:val="36D265F6"/>
    <w:rsid w:val="36D36400"/>
    <w:rsid w:val="372166EF"/>
    <w:rsid w:val="37C14367"/>
    <w:rsid w:val="38765C86"/>
    <w:rsid w:val="39AE70AB"/>
    <w:rsid w:val="3B341509"/>
    <w:rsid w:val="3B5005BB"/>
    <w:rsid w:val="3C0C0783"/>
    <w:rsid w:val="3C84487F"/>
    <w:rsid w:val="3E9968D2"/>
    <w:rsid w:val="3F9F3A96"/>
    <w:rsid w:val="407C02A4"/>
    <w:rsid w:val="41847666"/>
    <w:rsid w:val="418A584C"/>
    <w:rsid w:val="457D6AC5"/>
    <w:rsid w:val="474B2E49"/>
    <w:rsid w:val="47E8680A"/>
    <w:rsid w:val="493C27E9"/>
    <w:rsid w:val="496F39ED"/>
    <w:rsid w:val="49FF41D3"/>
    <w:rsid w:val="4B884409"/>
    <w:rsid w:val="4BE068DB"/>
    <w:rsid w:val="4BF6002B"/>
    <w:rsid w:val="4CC8139E"/>
    <w:rsid w:val="4E9E5C46"/>
    <w:rsid w:val="4ECE2238"/>
    <w:rsid w:val="51DB4B86"/>
    <w:rsid w:val="54122832"/>
    <w:rsid w:val="55333C3E"/>
    <w:rsid w:val="571832C4"/>
    <w:rsid w:val="58271E88"/>
    <w:rsid w:val="596644A4"/>
    <w:rsid w:val="5DC05209"/>
    <w:rsid w:val="5FD56AC2"/>
    <w:rsid w:val="60011BE0"/>
    <w:rsid w:val="62CC64CA"/>
    <w:rsid w:val="64CA39A1"/>
    <w:rsid w:val="64ED37AB"/>
    <w:rsid w:val="652322D7"/>
    <w:rsid w:val="665A10A4"/>
    <w:rsid w:val="673C2932"/>
    <w:rsid w:val="67D96E56"/>
    <w:rsid w:val="69921D6A"/>
    <w:rsid w:val="6B5E2426"/>
    <w:rsid w:val="6C4A05C8"/>
    <w:rsid w:val="6EBA6FC6"/>
    <w:rsid w:val="6ED15E26"/>
    <w:rsid w:val="6F36560B"/>
    <w:rsid w:val="722147BA"/>
    <w:rsid w:val="72734D90"/>
    <w:rsid w:val="728B5BC0"/>
    <w:rsid w:val="74F76249"/>
    <w:rsid w:val="752C3879"/>
    <w:rsid w:val="76956B57"/>
    <w:rsid w:val="79E7B28D"/>
    <w:rsid w:val="7A055599"/>
    <w:rsid w:val="7A174C25"/>
    <w:rsid w:val="7AB77117"/>
    <w:rsid w:val="7AE549AF"/>
    <w:rsid w:val="7B841131"/>
    <w:rsid w:val="7C4A7D63"/>
    <w:rsid w:val="7F9F20EE"/>
    <w:rsid w:val="9E3A10E2"/>
    <w:rsid w:val="F2E1F9D4"/>
    <w:rsid w:val="F788081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5"/>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26"/>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29"/>
    <w:unhideWhenUsed/>
    <w:qFormat/>
    <w:uiPriority w:val="9"/>
    <w:pPr>
      <w:keepNext/>
      <w:keepLines/>
      <w:spacing w:before="260" w:after="260" w:line="416" w:lineRule="auto"/>
      <w:outlineLvl w:val="2"/>
    </w:pPr>
    <w:rPr>
      <w:b/>
      <w:bCs/>
      <w:sz w:val="32"/>
      <w:szCs w:val="32"/>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customStyle="1" w:styleId="2">
    <w:name w:val="正文样式"/>
    <w:basedOn w:val="1"/>
    <w:qFormat/>
    <w:uiPriority w:val="0"/>
    <w:pPr>
      <w:adjustRightInd w:val="0"/>
      <w:snapToGrid w:val="0"/>
      <w:spacing w:line="520" w:lineRule="exact"/>
      <w:ind w:firstLine="562"/>
    </w:pPr>
    <w:rPr>
      <w:rFonts w:ascii="Times New Roman"/>
      <w:color w:val="000000"/>
      <w:sz w:val="28"/>
      <w:szCs w:val="28"/>
    </w:rPr>
  </w:style>
  <w:style w:type="paragraph" w:styleId="6">
    <w:name w:val="Body Text"/>
    <w:basedOn w:val="1"/>
    <w:link w:val="22"/>
    <w:qFormat/>
    <w:uiPriority w:val="99"/>
    <w:pPr>
      <w:spacing w:beforeLines="30"/>
    </w:pPr>
    <w:rPr>
      <w:rFonts w:ascii="仿宋_GB2312" w:eastAsia="仿宋_GB2312"/>
      <w:kern w:val="0"/>
      <w:sz w:val="30"/>
    </w:rPr>
  </w:style>
  <w:style w:type="paragraph" w:styleId="7">
    <w:name w:val="toc 3"/>
    <w:basedOn w:val="1"/>
    <w:next w:val="1"/>
    <w:unhideWhenUsed/>
    <w:qFormat/>
    <w:uiPriority w:val="39"/>
    <w:pPr>
      <w:tabs>
        <w:tab w:val="right" w:leader="dot" w:pos="8296"/>
      </w:tabs>
      <w:ind w:left="840" w:leftChars="400"/>
    </w:pPr>
  </w:style>
  <w:style w:type="paragraph" w:styleId="8">
    <w:name w:val="Balloon Text"/>
    <w:basedOn w:val="1"/>
    <w:link w:val="28"/>
    <w:semiHidden/>
    <w:unhideWhenUsed/>
    <w:qFormat/>
    <w:uiPriority w:val="99"/>
    <w:rPr>
      <w:sz w:val="18"/>
      <w:szCs w:val="18"/>
    </w:rPr>
  </w:style>
  <w:style w:type="paragraph" w:styleId="9">
    <w:name w:val="footer"/>
    <w:basedOn w:val="1"/>
    <w:link w:val="20"/>
    <w:qFormat/>
    <w:uiPriority w:val="99"/>
    <w:pPr>
      <w:tabs>
        <w:tab w:val="center" w:pos="4153"/>
        <w:tab w:val="right" w:pos="8306"/>
      </w:tabs>
      <w:snapToGrid w:val="0"/>
      <w:jc w:val="left"/>
    </w:pPr>
    <w:rPr>
      <w:rFonts w:ascii="Calibri" w:hAnsi="Calibri"/>
      <w:kern w:val="0"/>
      <w:sz w:val="18"/>
      <w:szCs w:val="18"/>
    </w:rPr>
  </w:style>
  <w:style w:type="paragraph" w:styleId="10">
    <w:name w:val="header"/>
    <w:basedOn w:val="1"/>
    <w:link w:val="18"/>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1">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2">
    <w:name w:val="toc 2"/>
    <w:basedOn w:val="1"/>
    <w:next w:val="1"/>
    <w:unhideWhenUsed/>
    <w:qFormat/>
    <w:uiPriority w:val="39"/>
    <w:pPr>
      <w:tabs>
        <w:tab w:val="right" w:leader="dot" w:pos="8296"/>
      </w:tabs>
      <w:ind w:left="420" w:leftChars="200"/>
    </w:pPr>
  </w:style>
  <w:style w:type="character" w:styleId="15">
    <w:name w:val="Strong"/>
    <w:basedOn w:val="14"/>
    <w:qFormat/>
    <w:uiPriority w:val="99"/>
    <w:rPr>
      <w:b/>
    </w:rPr>
  </w:style>
  <w:style w:type="character" w:styleId="16">
    <w:name w:val="Hyperlink"/>
    <w:basedOn w:val="14"/>
    <w:unhideWhenUsed/>
    <w:qFormat/>
    <w:uiPriority w:val="99"/>
    <w:rPr>
      <w:color w:val="0000FF" w:themeColor="hyperlink"/>
      <w:u w:val="single"/>
      <w14:textFill>
        <w14:solidFill>
          <w14:schemeClr w14:val="hlink"/>
        </w14:solidFill>
      </w14:textFill>
    </w:rPr>
  </w:style>
  <w:style w:type="character" w:customStyle="1" w:styleId="17">
    <w:name w:val="Header Char"/>
    <w:basedOn w:val="14"/>
    <w:semiHidden/>
    <w:qFormat/>
    <w:uiPriority w:val="99"/>
    <w:rPr>
      <w:rFonts w:ascii="Times New Roman" w:hAnsi="Times New Roman"/>
      <w:sz w:val="18"/>
      <w:szCs w:val="18"/>
    </w:rPr>
  </w:style>
  <w:style w:type="character" w:customStyle="1" w:styleId="18">
    <w:name w:val="页眉 Char"/>
    <w:link w:val="10"/>
    <w:semiHidden/>
    <w:qFormat/>
    <w:locked/>
    <w:uiPriority w:val="99"/>
    <w:rPr>
      <w:sz w:val="18"/>
    </w:rPr>
  </w:style>
  <w:style w:type="character" w:customStyle="1" w:styleId="19">
    <w:name w:val="Footer Char"/>
    <w:basedOn w:val="14"/>
    <w:semiHidden/>
    <w:qFormat/>
    <w:uiPriority w:val="99"/>
    <w:rPr>
      <w:rFonts w:ascii="Times New Roman" w:hAnsi="Times New Roman"/>
      <w:sz w:val="18"/>
      <w:szCs w:val="18"/>
    </w:rPr>
  </w:style>
  <w:style w:type="character" w:customStyle="1" w:styleId="20">
    <w:name w:val="页脚 Char"/>
    <w:link w:val="9"/>
    <w:qFormat/>
    <w:locked/>
    <w:uiPriority w:val="99"/>
    <w:rPr>
      <w:sz w:val="18"/>
    </w:rPr>
  </w:style>
  <w:style w:type="character" w:customStyle="1" w:styleId="21">
    <w:name w:val="Body Text Char"/>
    <w:basedOn w:val="14"/>
    <w:semiHidden/>
    <w:qFormat/>
    <w:uiPriority w:val="99"/>
    <w:rPr>
      <w:rFonts w:ascii="Times New Roman" w:hAnsi="Times New Roman"/>
      <w:szCs w:val="24"/>
    </w:rPr>
  </w:style>
  <w:style w:type="character" w:customStyle="1" w:styleId="22">
    <w:name w:val="正文文本 Char"/>
    <w:link w:val="6"/>
    <w:qFormat/>
    <w:locked/>
    <w:uiPriority w:val="99"/>
    <w:rPr>
      <w:rFonts w:ascii="仿宋_GB2312" w:hAnsi="Times New Roman" w:eastAsia="仿宋_GB2312"/>
      <w:sz w:val="24"/>
    </w:rPr>
  </w:style>
  <w:style w:type="paragraph" w:customStyle="1" w:styleId="23">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4">
    <w:name w:val="List Paragraph"/>
    <w:basedOn w:val="1"/>
    <w:qFormat/>
    <w:uiPriority w:val="34"/>
    <w:pPr>
      <w:ind w:firstLine="420" w:firstLineChars="200"/>
    </w:pPr>
  </w:style>
  <w:style w:type="character" w:customStyle="1" w:styleId="25">
    <w:name w:val="标题 1 Char"/>
    <w:basedOn w:val="14"/>
    <w:link w:val="3"/>
    <w:qFormat/>
    <w:uiPriority w:val="9"/>
    <w:rPr>
      <w:rFonts w:ascii="Times New Roman" w:hAnsi="Times New Roman"/>
      <w:b/>
      <w:bCs/>
      <w:kern w:val="44"/>
      <w:sz w:val="44"/>
      <w:szCs w:val="44"/>
    </w:rPr>
  </w:style>
  <w:style w:type="character" w:customStyle="1" w:styleId="26">
    <w:name w:val="标题 2 Char"/>
    <w:basedOn w:val="14"/>
    <w:link w:val="4"/>
    <w:qFormat/>
    <w:uiPriority w:val="9"/>
    <w:rPr>
      <w:rFonts w:asciiTheme="majorHAnsi" w:hAnsiTheme="majorHAnsi" w:eastAsiaTheme="majorEastAsia" w:cstheme="majorBidi"/>
      <w:b/>
      <w:bCs/>
      <w:kern w:val="2"/>
      <w:sz w:val="32"/>
      <w:szCs w:val="32"/>
    </w:rPr>
  </w:style>
  <w:style w:type="paragraph" w:customStyle="1" w:styleId="27">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28">
    <w:name w:val="批注框文本 Char"/>
    <w:basedOn w:val="14"/>
    <w:link w:val="8"/>
    <w:semiHidden/>
    <w:qFormat/>
    <w:uiPriority w:val="99"/>
    <w:rPr>
      <w:rFonts w:ascii="Times New Roman" w:hAnsi="Times New Roman"/>
      <w:kern w:val="2"/>
      <w:sz w:val="18"/>
      <w:szCs w:val="18"/>
    </w:rPr>
  </w:style>
  <w:style w:type="character" w:customStyle="1" w:styleId="29">
    <w:name w:val="标题 3 Char"/>
    <w:basedOn w:val="14"/>
    <w:link w:val="5"/>
    <w:qFormat/>
    <w:uiPriority w:val="9"/>
    <w:rPr>
      <w:rFonts w:ascii="Times New Roman" w:hAnsi="Times New Roman"/>
      <w:b/>
      <w:bCs/>
      <w:kern w:val="2"/>
      <w:sz w:val="32"/>
      <w:szCs w:val="32"/>
    </w:rPr>
  </w:style>
  <w:style w:type="paragraph" w:customStyle="1" w:styleId="30">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s>
</file>

<file path=word/_rels/document.xml.rels><?xml version="1.0" encoding="UTF-8" standalone="yes"?>
<Relationships xmlns="http://schemas.openxmlformats.org/package/2006/relationships"><Relationship Id="rId9" Type="http://schemas.openxmlformats.org/officeDocument/2006/relationships/chart" Target="charts/chart4.xml"/><Relationship Id="rId8" Type="http://schemas.openxmlformats.org/officeDocument/2006/relationships/chart" Target="charts/chart3.xml"/><Relationship Id="rId7" Type="http://schemas.openxmlformats.org/officeDocument/2006/relationships/chart" Target="charts/chart2.xml"/><Relationship Id="rId6" Type="http://schemas.openxmlformats.org/officeDocument/2006/relationships/chart" Target="charts/chart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hart" Target="charts/chart6.xml"/><Relationship Id="rId10" Type="http://schemas.openxmlformats.org/officeDocument/2006/relationships/chart" Target="charts/chart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3.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4.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2872180451128"/>
          <c:y val="0.0629722921914358"/>
          <c:w val="0.858556390977444"/>
          <c:h val="0.70816120906801"/>
        </c:manualLayout>
      </c:layout>
      <c:barChart>
        <c:barDir val="col"/>
        <c:grouping val="clustered"/>
        <c:varyColors val="0"/>
        <c:ser>
          <c:idx val="0"/>
          <c:order val="0"/>
          <c:tx>
            <c:strRef>
              <c:f>Sheet1!$B$1</c:f>
              <c:strCache>
                <c:ptCount val="1"/>
                <c:pt idx="0">
                  <c:v>2020年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2020年</c:v>
                </c:pt>
                <c:pt idx="1">
                  <c:v>2021年</c:v>
                </c:pt>
              </c:strCache>
            </c:strRef>
          </c:cat>
          <c:val>
            <c:numRef>
              <c:f>Sheet1!$B$2:$B$3</c:f>
              <c:numCache>
                <c:formatCode>General</c:formatCode>
                <c:ptCount val="2"/>
                <c:pt idx="0">
                  <c:v>29857.8</c:v>
                </c:pt>
              </c:numCache>
            </c:numRef>
          </c:val>
        </c:ser>
        <c:ser>
          <c:idx val="1"/>
          <c:order val="1"/>
          <c:tx>
            <c:strRef>
              <c:f>Sheet1!$C$1</c:f>
              <c:strCache>
                <c:ptCount val="1"/>
                <c:pt idx="0">
                  <c:v>2021年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2020年</c:v>
                </c:pt>
                <c:pt idx="1">
                  <c:v>2021年</c:v>
                </c:pt>
              </c:strCache>
            </c:strRef>
          </c:cat>
          <c:val>
            <c:numRef>
              <c:f>Sheet1!$C$2:$C$3</c:f>
              <c:numCache>
                <c:formatCode>General</c:formatCode>
                <c:ptCount val="2"/>
                <c:pt idx="1">
                  <c:v>29269.58</c:v>
                </c:pt>
              </c:numCache>
            </c:numRef>
          </c:val>
        </c:ser>
        <c:dLbls>
          <c:showLegendKey val="0"/>
          <c:showVal val="1"/>
          <c:showCatName val="0"/>
          <c:showSerName val="0"/>
          <c:showPercent val="0"/>
          <c:showBubbleSize val="0"/>
        </c:dLbls>
        <c:gapWidth val="75"/>
        <c:overlap val="0"/>
        <c:axId val="70051006"/>
        <c:axId val="890662055"/>
        <c:extLst>
          <c:ext xmlns:c15="http://schemas.microsoft.com/office/drawing/2012/chart" uri="{02D57815-91ED-43cb-92C2-25804820EDAC}">
            <c15:filteredBarSeries>
              <c15:ser>
                <c:idx val="2"/>
                <c:order val="2"/>
                <c:tx>
                  <c:strRef>
                    <c:extLst>
                      <c:ext uri="{02D57815-91ED-43cb-92C2-25804820EDAC}">
                        <c15:formulaRef>
                          <c15:sqref>Sheet1!#REF!</c15:sqref>
                        </c15:formulaRef>
                      </c:ext>
                    </c:extLst>
                    <c:strCache>
                      <c:ptCount val="1"/>
                      <c:pt idx="0">
                        <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Sheet1!$A$2:$A$3</c15:sqref>
                        </c15:formulaRef>
                      </c:ext>
                    </c:extLst>
                    <c:strCache>
                      <c:ptCount val="2"/>
                      <c:pt idx="0">
                        <c:v>2020年</c:v>
                      </c:pt>
                      <c:pt idx="1">
                        <c:v>2021年</c:v>
                      </c:pt>
                    </c:strCache>
                  </c:strRef>
                </c:cat>
                <c:val>
                  <c:numRef>
                    <c:extLst>
                      <c:ext uri="{02D57815-91ED-43cb-92C2-25804820EDAC}">
                        <c15:formulaRef>
                          <c15:sqref>Sheet1!#REF!</c15:sqref>
                        </c15:formulaRef>
                      </c:ext>
                    </c:extLst>
                    <c:numCache>
                      <c:formatCode>General</c:formatCode>
                      <c:ptCount val="1"/>
                      <c:pt idx="0">
                        <c:v>1</c:v>
                      </c:pt>
                    </c:numCache>
                  </c:numRef>
                </c:val>
              </c15:ser>
            </c15:filteredBarSeries>
          </c:ext>
        </c:extLst>
      </c:barChart>
      <c:catAx>
        <c:axId val="70051006"/>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90662055"/>
        <c:crosses val="autoZero"/>
        <c:auto val="1"/>
        <c:lblAlgn val="ctr"/>
        <c:lblOffset val="100"/>
        <c:noMultiLvlLbl val="0"/>
      </c:catAx>
      <c:valAx>
        <c:axId val="890662055"/>
        <c:scaling>
          <c:orientation val="minMax"/>
        </c:scaling>
        <c:delete val="0"/>
        <c:axPos val="l"/>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005100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销售额</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dLbl>
              <c:idx val="0"/>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5545.01万元1</a:t>
                    </a:r>
                    <a:r>
                      <a:rPr lang="en-US" altLang="zh-CN"/>
                      <a:t>8.94</a:t>
                    </a:r>
                    <a:r>
                      <a:t>%</a:t>
                    </a:r>
                  </a:p>
                </c:rich>
              </c:tx>
              <c:dLblPos val="inEnd"/>
              <c:showLegendKey val="0"/>
              <c:showVal val="1"/>
              <c:showCatName val="0"/>
              <c:showSerName val="0"/>
              <c:showPercent val="1"/>
              <c:showBubbleSize val="0"/>
              <c:extLst>
                <c:ext xmlns:c15="http://schemas.microsoft.com/office/drawing/2012/chart" uri="{CE6537A1-D6FC-4f65-9D91-7224C49458BB}">
                  <c15:layout>
                    <c:manualLayout>
                      <c:w val="0.155375"/>
                      <c:h val="0.121"/>
                    </c:manualLayout>
                  </c15:layout>
                </c:ext>
              </c:extLst>
            </c:dLbl>
            <c:dLbl>
              <c:idx val="1"/>
              <c:layout>
                <c:manualLayout>
                  <c:x val="-0.150538157014633"/>
                  <c:y val="0.0407102468114736"/>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rPr lang="en-US" altLang="zh-CN"/>
                      <a:t>1.62</a:t>
                    </a:r>
                    <a:r>
                      <a:t>%</a:t>
                    </a:r>
                  </a:p>
                </c:rich>
              </c:tx>
              <c:dLblPos val="bestFit"/>
              <c:showLegendKey val="0"/>
              <c:showVal val="1"/>
              <c:showCatName val="0"/>
              <c:showSerName val="0"/>
              <c:showPercent val="1"/>
              <c:showBubbleSize val="0"/>
              <c:extLst>
                <c:ext xmlns:c15="http://schemas.microsoft.com/office/drawing/2012/chart" uri="{CE6537A1-D6FC-4f65-9D91-7224C49458BB}">
                  <c15:layout>
                    <c:manualLayout>
                      <c:w val="0.153375"/>
                      <c:h val="0.0641666666666667"/>
                    </c:manualLayout>
                  </c15:layout>
                </c:ext>
              </c:extLst>
            </c:dLbl>
            <c:dLbl>
              <c:idx val="2"/>
              <c:layout>
                <c:manualLayout>
                  <c:x val="0.135619426028634"/>
                  <c:y val="-0.108259827723656"/>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23251.38万元79</a:t>
                    </a:r>
                    <a:r>
                      <a:rPr lang="en-US" altLang="zh-CN"/>
                      <a:t>.44</a:t>
                    </a:r>
                    <a:r>
                      <a:t>%</a:t>
                    </a:r>
                  </a:p>
                </c:rich>
              </c:tx>
              <c:dLblPos val="bestFit"/>
              <c:showLegendKey val="0"/>
              <c:showVal val="1"/>
              <c:showCatName val="0"/>
              <c:showSerName val="0"/>
              <c:showPercent val="1"/>
              <c:showBubbleSize val="0"/>
              <c:extLst>
                <c:ext xmlns:c15="http://schemas.microsoft.com/office/drawing/2012/chart" uri="{CE6537A1-D6FC-4f65-9D91-7224C49458BB}">
                  <c15:layout>
                    <c:manualLayout>
                      <c:w val="0.19475"/>
                      <c:h val="0.137666666666667"/>
                    </c:manualLayout>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一般公务预算财政拨款收入</c:v>
                </c:pt>
                <c:pt idx="1">
                  <c:v>经营收入</c:v>
                </c:pt>
                <c:pt idx="2">
                  <c:v>其他收入</c:v>
                </c:pt>
              </c:strCache>
            </c:strRef>
          </c:cat>
          <c:val>
            <c:numRef>
              <c:f>Sheet1!$B$2:$B$4</c:f>
              <c:numCache>
                <c:formatCode>General</c:formatCode>
                <c:ptCount val="3"/>
                <c:pt idx="0">
                  <c:v>5545.01</c:v>
                </c:pt>
                <c:pt idx="1">
                  <c:v>473.19</c:v>
                </c:pt>
                <c:pt idx="2">
                  <c:v>23251.38</c:v>
                </c:pt>
              </c:numCache>
            </c:numRef>
          </c:val>
        </c:ser>
        <c:dLbls>
          <c:showLegendKey val="0"/>
          <c:showVal val="1"/>
          <c:showCatName val="0"/>
          <c:showSerName val="0"/>
          <c:showPercent val="1"/>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销售额</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Lbl>
              <c:idx val="0"/>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rPr lang="en-US" altLang="zh-CN"/>
                      <a:t>6407.83</a:t>
                    </a:r>
                    <a:r>
                      <a:rPr altLang="en-US"/>
                      <a:t>万元</a:t>
                    </a:r>
                    <a:endParaRPr altLang="en-US"/>
                  </a:p>
                  <a:p>
                    <a:pPr defTabSz="914400">
                      <a:defRPr lang="zh-CN" sz="900" b="0" i="0" u="none" strike="noStrike" kern="1200" baseline="0">
                        <a:solidFill>
                          <a:schemeClr val="tx1">
                            <a:lumMod val="75000"/>
                            <a:lumOff val="25000"/>
                          </a:schemeClr>
                        </a:solidFill>
                        <a:latin typeface="+mn-lt"/>
                        <a:ea typeface="+mn-ea"/>
                        <a:cs typeface="+mn-cs"/>
                      </a:defRPr>
                    </a:pPr>
                    <a:r>
                      <a:t>25</a:t>
                    </a:r>
                    <a:r>
                      <a:rPr lang="en-US" altLang="zh-CN"/>
                      <a:t>.27</a:t>
                    </a:r>
                    <a:r>
                      <a:t>%</a:t>
                    </a:r>
                  </a:p>
                </c:rich>
              </c:tx>
              <c:dLblPos val="inEnd"/>
              <c:showLegendKey val="0"/>
              <c:showVal val="0"/>
              <c:showCatName val="0"/>
              <c:showSerName val="0"/>
              <c:showPercent val="1"/>
              <c:showBubbleSize val="0"/>
              <c:extLst>
                <c:ext xmlns:c15="http://schemas.microsoft.com/office/drawing/2012/chart" uri="{CE6537A1-D6FC-4f65-9D91-7224C49458BB}">
                  <c15:layout>
                    <c:manualLayout>
                      <c:w val="0.150375"/>
                      <c:h val="0.116166666666667"/>
                    </c:manualLayout>
                  </c15:layout>
                </c:ext>
              </c:extLst>
            </c:dLbl>
            <c:dLbl>
              <c:idx val="1"/>
              <c:layout>
                <c:manualLayout>
                  <c:x val="0.163095200847424"/>
                  <c:y val="-0.132209255993977"/>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rPr lang="en-US" altLang="zh-CN"/>
                      <a:t>18489.81</a:t>
                    </a:r>
                    <a:r>
                      <a:rPr altLang="en-US"/>
                      <a:t>万元</a:t>
                    </a:r>
                    <a:r>
                      <a:t>7</a:t>
                    </a:r>
                    <a:r>
                      <a:rPr lang="en-US" altLang="zh-CN"/>
                      <a:t>2.91</a:t>
                    </a:r>
                    <a:r>
                      <a:t>%</a:t>
                    </a:r>
                  </a:p>
                </c:rich>
              </c:tx>
              <c:dLblPos val="bestFit"/>
              <c:showLegendKey val="0"/>
              <c:showVal val="0"/>
              <c:showCatName val="0"/>
              <c:showSerName val="0"/>
              <c:showPercent val="1"/>
              <c:showBubbleSize val="0"/>
              <c:extLst>
                <c:ext xmlns:c15="http://schemas.microsoft.com/office/drawing/2012/chart" uri="{CE6537A1-D6FC-4f65-9D91-7224C49458BB}">
                  <c15:layout>
                    <c:manualLayout>
                      <c:w val="0.159"/>
                      <c:h val="0.0968333333333333"/>
                    </c:manualLayout>
                  </c15:layout>
                </c:ext>
              </c:extLst>
            </c:dLbl>
            <c:dLbl>
              <c:idx val="2"/>
              <c:layout>
                <c:manualLayout>
                  <c:x val="0.00896068618325182"/>
                  <c:y val="0.094928679799202"/>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rPr lang="en-US" altLang="zh-CN"/>
                      <a:t>1.82</a:t>
                    </a:r>
                    <a:r>
                      <a:t>%</a:t>
                    </a:r>
                  </a:p>
                </c:rich>
              </c:tx>
              <c:dLblPos val="bestFit"/>
              <c:showLegendKey val="0"/>
              <c:showVal val="0"/>
              <c:showCatName val="0"/>
              <c:showSerName val="0"/>
              <c:showPercent val="1"/>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基本支出</c:v>
                </c:pt>
                <c:pt idx="1">
                  <c:v>项目支出</c:v>
                </c:pt>
                <c:pt idx="2">
                  <c:v>经营支出</c:v>
                </c:pt>
              </c:strCache>
            </c:strRef>
          </c:cat>
          <c:val>
            <c:numRef>
              <c:f>Sheet1!$B$2:$B$5</c:f>
              <c:numCache>
                <c:formatCode>General</c:formatCode>
                <c:ptCount val="4"/>
                <c:pt idx="0">
                  <c:v>6407.83</c:v>
                </c:pt>
                <c:pt idx="1">
                  <c:v>18489.81</c:v>
                </c:pt>
                <c:pt idx="2">
                  <c:v>462</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7458482370976"/>
          <c:y val="0.277897861717139"/>
          <c:w val="0.716875"/>
          <c:h val="0.712333333333333"/>
        </c:manualLayout>
      </c:layout>
      <c:barChart>
        <c:barDir val="col"/>
        <c:grouping val="clustered"/>
        <c:varyColors val="0"/>
        <c:ser>
          <c:idx val="0"/>
          <c:order val="0"/>
          <c:tx>
            <c:strRef>
              <c:f>Sheet1!$B$1</c:f>
              <c:strCache>
                <c:ptCount val="1"/>
                <c:pt idx="0">
                  <c:v>2020年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类别 1</c:v>
                </c:pt>
              </c:strCache>
            </c:strRef>
          </c:cat>
          <c:val>
            <c:numRef>
              <c:f>Sheet1!$B$2</c:f>
              <c:numCache>
                <c:formatCode>General</c:formatCode>
                <c:ptCount val="1"/>
                <c:pt idx="0">
                  <c:v>5469.22</c:v>
                </c:pt>
              </c:numCache>
            </c:numRef>
          </c:val>
        </c:ser>
        <c:ser>
          <c:idx val="1"/>
          <c:order val="1"/>
          <c:tx>
            <c:strRef>
              <c:f>Sheet1!$C$1</c:f>
              <c:strCache>
                <c:ptCount val="1"/>
                <c:pt idx="0">
                  <c:v>2021年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类别 1</c:v>
                </c:pt>
              </c:strCache>
            </c:strRef>
          </c:cat>
          <c:val>
            <c:numRef>
              <c:f>Sheet1!$C$2</c:f>
              <c:numCache>
                <c:formatCode>General</c:formatCode>
                <c:ptCount val="1"/>
                <c:pt idx="0">
                  <c:v>5545.01</c:v>
                </c:pt>
              </c:numCache>
            </c:numRef>
          </c:val>
        </c:ser>
        <c:dLbls>
          <c:showLegendKey val="0"/>
          <c:showVal val="1"/>
          <c:showCatName val="0"/>
          <c:showSerName val="0"/>
          <c:showPercent val="0"/>
          <c:showBubbleSize val="0"/>
        </c:dLbls>
        <c:gapWidth val="150"/>
        <c:overlap val="-25"/>
        <c:axId val="62377673"/>
        <c:axId val="593105680"/>
      </c:barChart>
      <c:lineChart>
        <c:grouping val="standard"/>
        <c:varyColors val="0"/>
        <c:dLbls>
          <c:showLegendKey val="0"/>
          <c:showVal val="1"/>
          <c:showCatName val="0"/>
          <c:showSerName val="0"/>
          <c:showPercent val="0"/>
          <c:showBubbleSize val="0"/>
        </c:dLbls>
        <c:marker val="0"/>
        <c:smooth val="0"/>
        <c:axId val="62377673"/>
        <c:axId val="593105680"/>
        <c:extLst>
          <c:ext xmlns:c15="http://schemas.microsoft.com/office/drawing/2012/chart" uri="{02D57815-91ED-43cb-92C2-25804820EDAC}">
            <c15:filteredLineSeries>
              <c15:ser>
                <c:idx val="2"/>
                <c:order val="2"/>
                <c:tx>
                  <c:strRef>
                    <c:extLst>
                      <c:ext uri="{02D57815-91ED-43cb-92C2-25804820EDAC}">
                        <c15:formulaRef>
                          <c15:sqref>Sheet1!#REF!</c15:sqref>
                        </c15:formulaRef>
                      </c:ext>
                    </c:extLst>
                    <c:strCache>
                      <c:ptCount val="1"/>
                      <c:pt idx="0">
                        <c:v/>
                      </c:pt>
                    </c:strCache>
                  </c:strRef>
                </c:tx>
                <c:spPr>
                  <a:ln w="28575" cap="rnd">
                    <a:solidFill>
                      <a:schemeClr val="accent3"/>
                    </a:solidFill>
                    <a:round/>
                  </a:ln>
                  <a:effectLst/>
                </c:spPr>
                <c:marker>
                  <c:symbol val="none"/>
                </c:marker>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extLst>
                      <c:ext uri="{02D57815-91ED-43cb-92C2-25804820EDAC}">
                        <c15:fullRef>
                          <c15:sqref/>
                        </c15:fullRef>
                        <c15:formulaRef>
                          <c15:sqref>Sheet1!$A$2</c15:sqref>
                        </c15:formulaRef>
                      </c:ext>
                    </c:extLst>
                    <c:numCache>
                      <c:ptCount val="0"/>
                    </c:numCache>
                  </c:numRef>
                </c:cat>
                <c:val>
                  <c:numRef>
                    <c:extLst>
                      <c:ext uri="{02D57815-91ED-43cb-92C2-25804820EDAC}">
                        <c15:formulaRef>
                          <c15:sqref>Sheet1!#REF!</c15:sqref>
                        </c15:formulaRef>
                      </c:ext>
                    </c:extLst>
                    <c:numCache>
                      <c:formatCode>General</c:formatCode>
                      <c:ptCount val="1"/>
                      <c:pt idx="0">
                        <c:v>1</c:v>
                      </c:pt>
                    </c:numCache>
                  </c:numRef>
                </c:val>
                <c:smooth val="0"/>
              </c15:ser>
            </c15:filteredLineSeries>
          </c:ext>
        </c:extLst>
      </c:lineChart>
      <c:catAx>
        <c:axId val="62377673"/>
        <c:scaling>
          <c:orientation val="minMax"/>
        </c:scaling>
        <c:delete val="1"/>
        <c:axPos val="b"/>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93105680"/>
        <c:crosses val="autoZero"/>
        <c:auto val="1"/>
        <c:lblAlgn val="ctr"/>
        <c:lblOffset val="100"/>
        <c:noMultiLvlLbl val="0"/>
      </c:catAx>
      <c:valAx>
        <c:axId val="593105680"/>
        <c:scaling>
          <c:orientation val="minMax"/>
        </c:scaling>
        <c:delete val="1"/>
        <c:axPos val="l"/>
        <c:numFmt formatCode="General" sourceLinked="1"/>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2377673"/>
        <c:crosses val="autoZero"/>
        <c:crossBetween val="between"/>
      </c:valAx>
      <c:spPr>
        <a:noFill/>
        <a:ln>
          <a:noFill/>
        </a:ln>
        <a:effectLst/>
      </c:spPr>
    </c:plotArea>
    <c:legend>
      <c:legendPos val="t"/>
      <c:layout>
        <c:manualLayout>
          <c:xMode val="edge"/>
          <c:yMode val="edge"/>
          <c:x val="0.304574579049322"/>
          <c:y val="0.0682302771855011"/>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t>一般公共预算财政拨款支出决算变动情况图</a:t>
            </a:r>
            <a:endParaRPr b="1"/>
          </a:p>
        </c:rich>
      </c:tx>
      <c:layout/>
      <c:overlay val="0"/>
      <c:spPr>
        <a:noFill/>
        <a:ln>
          <a:noFill/>
        </a:ln>
        <a:effectLst/>
      </c:spPr>
    </c:title>
    <c:autoTitleDeleted val="0"/>
    <c:plotArea>
      <c:layout>
        <c:manualLayout>
          <c:layoutTarget val="inner"/>
          <c:xMode val="edge"/>
          <c:yMode val="edge"/>
          <c:x val="0.0338457199266676"/>
          <c:y val="0.211700537995965"/>
          <c:w val="0.945"/>
          <c:h val="0.716566666666667"/>
        </c:manualLayout>
      </c:layout>
      <c:barChart>
        <c:barDir val="col"/>
        <c:grouping val="clustered"/>
        <c:varyColors val="0"/>
        <c:ser>
          <c:idx val="0"/>
          <c:order val="0"/>
          <c:tx>
            <c:strRef>
              <c:f>Sheet1!$B$1</c:f>
              <c:strCache>
                <c:ptCount val="1"/>
                <c:pt idx="0">
                  <c:v>2020年</c:v>
                </c:pt>
              </c:strCache>
            </c:strRef>
          </c:tx>
          <c:spPr>
            <a:solidFill>
              <a:schemeClr val="accent1"/>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c:f>
              <c:strCache>
                <c:ptCount val="1"/>
                <c:pt idx="0">
                  <c:v>类别 1</c:v>
                </c:pt>
              </c:strCache>
            </c:strRef>
          </c:cat>
          <c:val>
            <c:numRef>
              <c:f>Sheet1!$B$2</c:f>
              <c:numCache>
                <c:formatCode>General</c:formatCode>
                <c:ptCount val="1"/>
                <c:pt idx="0">
                  <c:v>5469.22</c:v>
                </c:pt>
              </c:numCache>
            </c:numRef>
          </c:val>
        </c:ser>
        <c:ser>
          <c:idx val="1"/>
          <c:order val="1"/>
          <c:tx>
            <c:strRef>
              <c:f>Sheet1!$C$1</c:f>
              <c:strCache>
                <c:ptCount val="1"/>
                <c:pt idx="0">
                  <c:v>2021年</c:v>
                </c:pt>
              </c:strCache>
            </c:strRef>
          </c:tx>
          <c:spPr>
            <a:solidFill>
              <a:schemeClr val="accent2"/>
            </a:solidFill>
            <a:ln>
              <a:solidFill>
                <a:srgbClr val="0000FF"/>
              </a:solid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c:f>
              <c:strCache>
                <c:ptCount val="1"/>
                <c:pt idx="0">
                  <c:v>类别 1</c:v>
                </c:pt>
              </c:strCache>
            </c:strRef>
          </c:cat>
          <c:val>
            <c:numRef>
              <c:f>Sheet1!$C$2</c:f>
              <c:numCache>
                <c:formatCode>General</c:formatCode>
                <c:ptCount val="1"/>
                <c:pt idx="0">
                  <c:v>5545.01</c:v>
                </c:pt>
              </c:numCache>
            </c:numRef>
          </c:val>
        </c:ser>
        <c:dLbls>
          <c:showLegendKey val="0"/>
          <c:showVal val="1"/>
          <c:showCatName val="0"/>
          <c:showSerName val="0"/>
          <c:showPercent val="0"/>
          <c:showBubbleSize val="0"/>
        </c:dLbls>
        <c:gapWidth val="150"/>
        <c:overlap val="-25"/>
        <c:axId val="77152863"/>
        <c:axId val="343018596"/>
      </c:barChart>
      <c:lineChart>
        <c:grouping val="standard"/>
        <c:varyColors val="0"/>
        <c:dLbls>
          <c:showLegendKey val="0"/>
          <c:showVal val="1"/>
          <c:showCatName val="0"/>
          <c:showSerName val="0"/>
          <c:showPercent val="0"/>
          <c:showBubbleSize val="0"/>
        </c:dLbls>
        <c:marker val="0"/>
        <c:smooth val="0"/>
        <c:axId val="77152863"/>
        <c:axId val="343018596"/>
        <c:extLst>
          <c:ext xmlns:c15="http://schemas.microsoft.com/office/drawing/2012/chart" uri="{02D57815-91ED-43cb-92C2-25804820EDAC}">
            <c15:filteredLineSeries>
              <c15:ser>
                <c:idx val="2"/>
                <c:order val="2"/>
                <c:tx>
                  <c:strRef>
                    <c:extLst>
                      <c:ext uri="{02D57815-91ED-43cb-92C2-25804820EDAC}">
                        <c15:formulaRef>
                          <c15:sqref>Sheet1!#REF!</c15:sqref>
                        </c15:formulaRef>
                      </c:ext>
                    </c:extLst>
                    <c:strCache>
                      <c:ptCount val="1"/>
                      <c:pt idx="0">
                        <c:v/>
                      </c:pt>
                    </c:strCache>
                  </c:strRef>
                </c:tx>
                <c:spPr>
                  <a:ln w="28575" cap="rnd">
                    <a:solidFill>
                      <a:schemeClr val="accent3"/>
                    </a:solidFill>
                    <a:round/>
                  </a:ln>
                  <a:effectLst/>
                </c:spPr>
                <c:marker>
                  <c:symbol val="none"/>
                </c:marker>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r"/>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numRef>
                    <c:extLst>
                      <c:ext uri="{02D57815-91ED-43cb-92C2-25804820EDAC}">
                        <c15:fullRef>
                          <c15:sqref/>
                        </c15:fullRef>
                        <c15:formulaRef>
                          <c15:sqref>Sheet1!$A$2</c15:sqref>
                        </c15:formulaRef>
                      </c:ext>
                    </c:extLst>
                    <c:numCache>
                      <c:ptCount val="0"/>
                    </c:numCache>
                  </c:numRef>
                </c:cat>
                <c:val>
                  <c:numRef>
                    <c:extLst>
                      <c:ext uri="{02D57815-91ED-43cb-92C2-25804820EDAC}">
                        <c15:formulaRef>
                          <c15:sqref>Sheet1!#REF!</c15:sqref>
                        </c15:formulaRef>
                      </c:ext>
                    </c:extLst>
                    <c:numCache>
                      <c:formatCode>General</c:formatCode>
                      <c:ptCount val="1"/>
                      <c:pt idx="0">
                        <c:v>1</c:v>
                      </c:pt>
                    </c:numCache>
                  </c:numRef>
                </c:val>
                <c:smooth val="0"/>
              </c15:ser>
            </c15:filteredLineSeries>
          </c:ext>
        </c:extLst>
      </c:lineChart>
      <c:catAx>
        <c:axId val="77152863"/>
        <c:scaling>
          <c:orientation val="minMax"/>
        </c:scaling>
        <c:delete val="1"/>
        <c:axPos val="b"/>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3018596"/>
        <c:crosses val="autoZero"/>
        <c:auto val="1"/>
        <c:lblAlgn val="ctr"/>
        <c:lblOffset val="100"/>
        <c:noMultiLvlLbl val="0"/>
      </c:catAx>
      <c:valAx>
        <c:axId val="343018596"/>
        <c:scaling>
          <c:orientation val="minMax"/>
        </c:scaling>
        <c:delete val="1"/>
        <c:axPos val="l"/>
        <c:numFmt formatCode="General" sourceLinked="1"/>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7152863"/>
        <c:crosses val="autoZero"/>
        <c:crossBetween val="between"/>
      </c:valAx>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800" b="1" i="0" u="none" strike="noStrike" kern="1200" baseline="0">
                <a:solidFill>
                  <a:schemeClr val="dk1">
                    <a:lumMod val="75000"/>
                    <a:lumOff val="25000"/>
                  </a:schemeClr>
                </a:solidFill>
                <a:latin typeface="+mn-lt"/>
                <a:ea typeface="+mn-ea"/>
                <a:cs typeface="+mn-cs"/>
              </a:defRPr>
            </a:pPr>
            <a:r>
              <a:rPr altLang="zh-CN"/>
              <a:t>一般公共预算财政拨款支出决算结构图</a:t>
            </a:r>
            <a:endParaRPr altLang="zh-CN"/>
          </a:p>
        </c:rich>
      </c:tx>
      <c:layout/>
      <c:overlay val="0"/>
      <c:spPr>
        <a:noFill/>
        <a:ln>
          <a:noFill/>
        </a:ln>
        <a:effectLst/>
      </c:spPr>
    </c:title>
    <c:autoTitleDeleted val="0"/>
    <c:plotArea>
      <c:layout/>
      <c:pieChart>
        <c:varyColors val="1"/>
        <c:ser>
          <c:idx val="0"/>
          <c:order val="0"/>
          <c:tx>
            <c:strRef>
              <c:f>Sheet1!$B$1</c:f>
              <c:strCache>
                <c:ptCount val="1"/>
                <c:pt idx="0">
                  <c:v>销售额</c:v>
                </c:pt>
              </c:strCache>
            </c:strRef>
          </c:tx>
          <c:spPr/>
          <c:explosion val="0"/>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Pt>
            <c:idx val="3"/>
            <c:bubble3D val="0"/>
            <c:spPr>
              <a:solidFill>
                <a:schemeClr val="accent4"/>
              </a:solidFill>
              <a:ln>
                <a:noFill/>
              </a:ln>
              <a:effectLst>
                <a:outerShdw blurRad="254000" sx="102000" sy="102000" algn="ctr" rotWithShape="0">
                  <a:prstClr val="black">
                    <a:alpha val="20000"/>
                  </a:prstClr>
                </a:outerShdw>
              </a:effectLst>
            </c:spPr>
          </c:dPt>
          <c:dLbls>
            <c:dLbl>
              <c:idx val="0"/>
              <c:layout>
                <c:manualLayout>
                  <c:x val="-0.185705506204622"/>
                  <c:y val="0.171128431112422"/>
                </c:manualLayout>
              </c:layout>
              <c:tx>
                <c:rich>
                  <a:bodyPr rot="0" spcFirstLastPara="0" vertOverflow="ellipsis" vert="horz" wrap="square" lIns="38100" tIns="19050" rIns="38100" bIns="19050" anchor="ctr" anchorCtr="1"/>
                  <a:lstStyle/>
                  <a:p>
                    <a:pPr defTabSz="914400">
                      <a:defRPr lang="zh-CN" sz="1000" b="1" i="0" u="none" strike="noStrike" kern="1200" baseline="0">
                        <a:solidFill>
                          <a:schemeClr val="lt1"/>
                        </a:solidFill>
                        <a:latin typeface="+mn-lt"/>
                        <a:ea typeface="+mn-ea"/>
                        <a:cs typeface="+mn-cs"/>
                      </a:defRPr>
                    </a:pPr>
                    <a:r>
                      <a:t>1695.07万元, 3</a:t>
                    </a:r>
                    <a:r>
                      <a:rPr lang="en-US" altLang="zh-CN"/>
                      <a:t>0.57</a:t>
                    </a:r>
                    <a:r>
                      <a:t>%</a:t>
                    </a:r>
                  </a:p>
                </c:rich>
              </c:tx>
              <c:dLblPos val="bestFit"/>
              <c:showLegendKey val="0"/>
              <c:showVal val="1"/>
              <c:showCatName val="0"/>
              <c:showSerName val="0"/>
              <c:showPercent val="1"/>
              <c:showBubbleSize val="0"/>
              <c:extLst>
                <c:ext xmlns:c15="http://schemas.microsoft.com/office/drawing/2012/chart" uri="{CE6537A1-D6FC-4f65-9D91-7224C49458BB}">
                  <c15:layout>
                    <c:manualLayout>
                      <c:w val="0.18225"/>
                      <c:h val="0.133833333333333"/>
                    </c:manualLayout>
                  </c15:layout>
                </c:ext>
              </c:extLst>
            </c:dLbl>
            <c:dLbl>
              <c:idx val="1"/>
              <c:layout/>
              <c:tx>
                <c:rich>
                  <a:bodyPr rot="0" spcFirstLastPara="0" vertOverflow="ellipsis" vert="horz" wrap="square" lIns="38100" tIns="19050" rIns="38100" bIns="19050" anchor="ctr" anchorCtr="1"/>
                  <a:lstStyle/>
                  <a:p>
                    <a:pPr defTabSz="914400">
                      <a:defRPr lang="zh-CN" sz="1000" b="1" i="0" u="none" strike="noStrike" kern="1200" baseline="0">
                        <a:solidFill>
                          <a:schemeClr val="lt1"/>
                        </a:solidFill>
                        <a:latin typeface="+mn-lt"/>
                        <a:ea typeface="+mn-ea"/>
                        <a:cs typeface="+mn-cs"/>
                      </a:defRPr>
                    </a:pPr>
                    <a:r>
                      <a:t>140万元, 2</a:t>
                    </a:r>
                    <a:r>
                      <a:rPr lang="en-US" altLang="zh-CN"/>
                      <a:t>.52</a:t>
                    </a:r>
                    <a:r>
                      <a:t>%</a:t>
                    </a:r>
                  </a:p>
                </c:rich>
              </c:tx>
              <c:dLblPos val="ctr"/>
              <c:showLegendKey val="0"/>
              <c:showVal val="1"/>
              <c:showCatName val="0"/>
              <c:showSerName val="0"/>
              <c:showPercent val="1"/>
              <c:showBubbleSize val="0"/>
              <c:extLst>
                <c:ext xmlns:c15="http://schemas.microsoft.com/office/drawing/2012/chart" uri="{CE6537A1-D6FC-4f65-9D91-7224C49458BB}">
                  <c15:layout>
                    <c:manualLayout>
                      <c:w val="0.15525"/>
                      <c:h val="0.091"/>
                    </c:manualLayout>
                  </c15:layout>
                </c:ext>
              </c:extLst>
            </c:dLbl>
            <c:dLbl>
              <c:idx val="2"/>
              <c:layout>
                <c:manualLayout>
                  <c:x val="-0.151126350164907"/>
                  <c:y val="-0.0966381796742567"/>
                </c:manualLayout>
              </c:layout>
              <c:tx>
                <c:rich>
                  <a:bodyPr rot="0" spcFirstLastPara="0" vertOverflow="ellipsis" vert="horz" wrap="square" lIns="38100" tIns="19050" rIns="38100" bIns="19050" anchor="ctr" anchorCtr="1"/>
                  <a:lstStyle/>
                  <a:p>
                    <a:pPr defTabSz="914400">
                      <a:defRPr lang="zh-CN" sz="1000" b="1" i="0" u="none" strike="noStrike" kern="1200" baseline="0">
                        <a:solidFill>
                          <a:schemeClr val="lt1"/>
                        </a:solidFill>
                        <a:latin typeface="+mn-lt"/>
                        <a:ea typeface="+mn-ea"/>
                        <a:cs typeface="+mn-cs"/>
                      </a:defRPr>
                    </a:pPr>
                    <a:r>
                      <a:t>200万元, </a:t>
                    </a:r>
                    <a:r>
                      <a:rPr lang="en-US" altLang="zh-CN"/>
                      <a:t>3.61</a:t>
                    </a:r>
                    <a:r>
                      <a:t>%</a:t>
                    </a:r>
                  </a:p>
                </c:rich>
              </c:tx>
              <c:dLblPos val="bestFit"/>
              <c:showLegendKey val="0"/>
              <c:showVal val="1"/>
              <c:showCatName val="0"/>
              <c:showSerName val="0"/>
              <c:showPercent val="1"/>
              <c:showBubbleSize val="0"/>
              <c:extLst>
                <c:ext xmlns:c15="http://schemas.microsoft.com/office/drawing/2012/chart" uri="{CE6537A1-D6FC-4f65-9D91-7224C49458BB}">
                  <c15:layout>
                    <c:manualLayout>
                      <c:w val="0.142125"/>
                      <c:h val="0.111"/>
                    </c:manualLayout>
                  </c15:layout>
                </c:ext>
              </c:extLst>
            </c:dLbl>
            <c:dLbl>
              <c:idx val="3"/>
              <c:layout/>
              <c:tx>
                <c:rich>
                  <a:bodyPr rot="0" spcFirstLastPara="0" vertOverflow="ellipsis" vert="horz" wrap="square" lIns="38100" tIns="19050" rIns="38100" bIns="19050" anchor="ctr" anchorCtr="1"/>
                  <a:lstStyle/>
                  <a:p>
                    <a:pPr defTabSz="914400">
                      <a:defRPr lang="zh-CN" sz="1000" b="1" i="0" u="none" strike="noStrike" kern="1200" baseline="0">
                        <a:solidFill>
                          <a:schemeClr val="lt1"/>
                        </a:solidFill>
                        <a:latin typeface="+mn-lt"/>
                        <a:ea typeface="+mn-ea"/>
                        <a:cs typeface="+mn-cs"/>
                      </a:defRPr>
                    </a:pPr>
                    <a:r>
                      <a:t>3509.94万元, 63</a:t>
                    </a:r>
                    <a:r>
                      <a:rPr lang="en-US" altLang="zh-CN"/>
                      <a:t>.3</a:t>
                    </a:r>
                    <a:r>
                      <a:t>%</a:t>
                    </a:r>
                  </a:p>
                </c:rich>
              </c:tx>
              <c:dLblPos val="ctr"/>
              <c:showLegendKey val="0"/>
              <c:showVal val="1"/>
              <c:showCatName val="0"/>
              <c:showSerName val="0"/>
              <c:showPercent val="1"/>
              <c:showBubbleSize val="0"/>
              <c:extLst>
                <c:ext xmlns:c15="http://schemas.microsoft.com/office/drawing/2012/chart" uri="{CE6537A1-D6FC-4f65-9D91-7224C49458BB}">
                  <c15:layout>
                    <c:manualLayout>
                      <c:w val="0.149375"/>
                      <c:h val="0.0966666666666667"/>
                    </c:manualLayout>
                  </c15:layout>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0" vertOverflow="ellipsis" vert="horz" wrap="square" lIns="38100" tIns="19050" rIns="38100" bIns="19050" anchor="ctr" anchorCtr="1"/>
              <a:lstStyle/>
              <a:p>
                <a:pPr>
                  <a:defRPr lang="zh-CN" sz="1000" b="1" i="0" u="none" strike="noStrike" kern="1200" baseline="0">
                    <a:solidFill>
                      <a:schemeClr val="lt1"/>
                    </a:solidFill>
                    <a:latin typeface="+mn-lt"/>
                    <a:ea typeface="+mn-ea"/>
                    <a:cs typeface="+mn-cs"/>
                  </a:defRPr>
                </a:pPr>
              </a:p>
            </c:txPr>
            <c:dLblPos val="ctr"/>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Sheet1!$A$2:$A$5</c:f>
              <c:strCache>
                <c:ptCount val="4"/>
                <c:pt idx="0">
                  <c:v>社会保障和就业支出</c:v>
                </c:pt>
                <c:pt idx="1">
                  <c:v>卫生健康支出</c:v>
                </c:pt>
                <c:pt idx="2">
                  <c:v>住房保障支出</c:v>
                </c:pt>
                <c:pt idx="3">
                  <c:v>资源勘探工业信息等支出</c:v>
                </c:pt>
              </c:strCache>
            </c:strRef>
          </c:cat>
          <c:val>
            <c:numRef>
              <c:f>Sheet1!$B$2:$B$5</c:f>
              <c:numCache>
                <c:formatCode>General</c:formatCode>
                <c:ptCount val="4"/>
                <c:pt idx="0">
                  <c:v>1695.07</c:v>
                </c:pt>
                <c:pt idx="1">
                  <c:v>140</c:v>
                </c:pt>
                <c:pt idx="2">
                  <c:v>200</c:v>
                </c:pt>
                <c:pt idx="3">
                  <c:v>3509.94</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solidFill>
          <a:schemeClr val="lt1">
            <a:lumMod val="95000"/>
            <a:alpha val="39000"/>
          </a:schemeClr>
        </a:solidFill>
        <a:ln>
          <a:noFill/>
        </a:ln>
        <a:effectLst/>
      </c:spPr>
      <c:txPr>
        <a:bodyPr rot="0" spcFirstLastPara="0" vertOverflow="ellipsis" vert="horz" wrap="square" anchor="ctr" anchorCtr="1"/>
        <a:lstStyle/>
        <a:p>
          <a:pPr>
            <a:defRPr lang="zh-CN" sz="900" b="0" i="0" u="none" strike="noStrike" kern="1200" baseline="0">
              <a:solidFill>
                <a:schemeClr val="dk1">
                  <a:lumMod val="75000"/>
                  <a:lumOff val="25000"/>
                </a:schemeClr>
              </a:solidFill>
              <a:latin typeface="+mn-lt"/>
              <a:ea typeface="+mn-ea"/>
              <a:cs typeface="+mn-cs"/>
            </a:defRPr>
          </a:pPr>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四川省财政厅</Company>
  <Pages>18</Pages>
  <Words>5318</Words>
  <Characters>6175</Characters>
  <Lines>61</Lines>
  <Paragraphs>17</Paragraphs>
  <TotalTime>3</TotalTime>
  <ScaleCrop>false</ScaleCrop>
  <LinksUpToDate>false</LinksUpToDate>
  <CharactersWithSpaces>6216</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2020-08-05T01:49:00Z</dcterms:created>
  <dc:creator>曹颖</dc:creator>
  <cp:lastModifiedBy>崔艳平</cp:lastModifiedBy>
  <cp:lastPrinted>2022-08-06T02:23:00Z</cp:lastPrinted>
  <dcterms:modified xsi:type="dcterms:W3CDTF">2022-11-11T07:28:51Z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4CA62D7528FB40F0A3C04C214EE0B6C3</vt:lpwstr>
  </property>
</Properties>
</file>